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3D84E1" w14:textId="38A33771" w:rsidR="008B2CAC" w:rsidRDefault="008B2CAC" w:rsidP="00665DCC">
      <w:pPr>
        <w:pStyle w:val="Frspaiere"/>
        <w:jc w:val="center"/>
        <w:rPr>
          <w:rFonts w:ascii="Times New Roman" w:hAnsi="Times New Roman" w:cs="Times New Roman"/>
          <w:b/>
          <w:bCs/>
          <w:sz w:val="28"/>
          <w:szCs w:val="28"/>
          <w:lang w:val="ro-RO"/>
        </w:rPr>
      </w:pPr>
      <w:r w:rsidRPr="008B2CAC">
        <w:rPr>
          <w:rFonts w:ascii="Times New Roman" w:hAnsi="Times New Roman" w:cs="Times New Roman"/>
          <w:b/>
          <w:bCs/>
          <w:sz w:val="28"/>
          <w:szCs w:val="28"/>
          <w:lang w:val="el-GR"/>
        </w:rPr>
        <w:t>The Implementation of European Directives in Criminal Procedure: Legal Framework, Challenges and Perspectives</w:t>
      </w:r>
    </w:p>
    <w:p w14:paraId="2A04FEB2" w14:textId="17879788" w:rsidR="001648E5" w:rsidRDefault="003E7C9C" w:rsidP="001648E5">
      <w:pPr>
        <w:pStyle w:val="Frspaiere"/>
        <w:jc w:val="center"/>
        <w:rPr>
          <w:rFonts w:ascii="Times New Roman" w:hAnsi="Times New Roman" w:cs="Times New Roman"/>
          <w:b/>
          <w:bCs/>
          <w:sz w:val="24"/>
          <w:szCs w:val="24"/>
        </w:rPr>
      </w:pPr>
      <w:r>
        <w:rPr>
          <w:rFonts w:ascii="Times New Roman" w:hAnsi="Times New Roman" w:cs="Times New Roman"/>
          <w:b/>
          <w:iCs/>
          <w:sz w:val="24"/>
          <w:szCs w:val="24"/>
          <w:lang w:val="en-GB"/>
        </w:rPr>
        <w:t>Andreea CORSEI</w:t>
      </w:r>
      <w:r>
        <w:rPr>
          <w:rStyle w:val="Referinnotdesubsol"/>
          <w:rFonts w:ascii="Times New Roman" w:hAnsi="Times New Roman" w:cs="Times New Roman"/>
          <w:b/>
          <w:iCs/>
          <w:sz w:val="24"/>
          <w:szCs w:val="24"/>
          <w:lang w:val="en-GB"/>
        </w:rPr>
        <w:footnoteReference w:id="1"/>
      </w:r>
    </w:p>
    <w:p w14:paraId="23C1E787" w14:textId="77777777" w:rsidR="001648E5" w:rsidRDefault="001648E5" w:rsidP="001648E5">
      <w:pPr>
        <w:pStyle w:val="Abstract"/>
        <w:spacing w:after="120"/>
        <w:ind w:left="0" w:right="567"/>
        <w:rPr>
          <w:b/>
          <w:szCs w:val="18"/>
          <w:lang w:val="en-GB"/>
        </w:rPr>
      </w:pPr>
    </w:p>
    <w:p w14:paraId="0EE6022C" w14:textId="77777777" w:rsidR="008B2CAC" w:rsidRDefault="0044726B" w:rsidP="008B2CAC">
      <w:pPr>
        <w:pStyle w:val="Abstract"/>
        <w:spacing w:after="120"/>
        <w:ind w:left="567" w:right="567"/>
        <w:rPr>
          <w:iCs/>
          <w:szCs w:val="18"/>
          <w:lang w:val="ro-RO"/>
        </w:rPr>
      </w:pPr>
      <w:r w:rsidRPr="00840BE4">
        <w:rPr>
          <w:b/>
          <w:szCs w:val="18"/>
          <w:lang w:val="en-GB"/>
        </w:rPr>
        <w:t>Abstract</w:t>
      </w:r>
      <w:r w:rsidR="00AC3F7E">
        <w:rPr>
          <w:szCs w:val="18"/>
          <w:lang w:val="en-GB"/>
        </w:rPr>
        <w:t>:</w:t>
      </w:r>
      <w:r w:rsidR="001648E5">
        <w:rPr>
          <w:szCs w:val="18"/>
          <w:lang w:val="en-GB"/>
        </w:rPr>
        <w:t xml:space="preserve"> </w:t>
      </w:r>
      <w:r w:rsidR="008B2CAC" w:rsidRPr="008B2CAC">
        <w:rPr>
          <w:iCs/>
          <w:szCs w:val="18"/>
          <w:lang w:val="el-GR"/>
        </w:rPr>
        <w:t>The implementation of European Union directives in the field of criminal procedure represents a crucial process for harmonizing national legislation and strengthening a European area of justice. This article analyzes the legal foundations of transposing directives into domestic law, the manner of their integration into Romanian criminal procedural legislation, the practical obstacles encountered, as well as the effects on international judicial cooperation and the protection of fundamental rights. This process aims to ensure minimum procedural safeguards for individuals involved in criminal proceedings, particularly for suspects and defendants, in the spirit of protecting fundamental rights.</w:t>
      </w:r>
    </w:p>
    <w:p w14:paraId="5B7FBCE0" w14:textId="5FDBD0CC" w:rsidR="001648E5" w:rsidRDefault="008B2CAC" w:rsidP="008B2CAC">
      <w:pPr>
        <w:pStyle w:val="Abstract"/>
        <w:spacing w:after="120"/>
        <w:ind w:left="567" w:right="567"/>
        <w:rPr>
          <w:rFonts w:eastAsia="BatangChe"/>
          <w:b/>
          <w:lang w:bidi="he-IL"/>
        </w:rPr>
      </w:pPr>
      <w:r w:rsidRPr="008B2CAC">
        <w:rPr>
          <w:b/>
          <w:bCs/>
          <w:iCs/>
          <w:szCs w:val="18"/>
          <w:lang w:val="el-GR"/>
        </w:rPr>
        <w:t>Keywords</w:t>
      </w:r>
      <w:r w:rsidRPr="008B2CAC">
        <w:rPr>
          <w:iCs/>
          <w:szCs w:val="18"/>
          <w:lang w:val="el-GR"/>
        </w:rPr>
        <w:t xml:space="preserve"> – directive, criminal procedure, trial, law, European protection</w:t>
      </w:r>
    </w:p>
    <w:p w14:paraId="3B2BB036" w14:textId="77777777" w:rsidR="001648E5" w:rsidRDefault="001648E5" w:rsidP="00FD4505">
      <w:pPr>
        <w:pStyle w:val="Frspaiere"/>
        <w:jc w:val="both"/>
        <w:rPr>
          <w:rFonts w:ascii="Times New Roman" w:eastAsia="BatangChe" w:hAnsi="Times New Roman" w:cs="Times New Roman"/>
          <w:b/>
          <w:lang w:bidi="he-IL"/>
        </w:rPr>
      </w:pPr>
    </w:p>
    <w:p w14:paraId="37F78F01" w14:textId="37C8FA90" w:rsidR="001648E5" w:rsidRPr="001648E5" w:rsidRDefault="001648E5" w:rsidP="001648E5">
      <w:pPr>
        <w:pStyle w:val="Frspaiere"/>
        <w:jc w:val="both"/>
        <w:rPr>
          <w:rFonts w:ascii="Times New Roman" w:eastAsia="BatangChe" w:hAnsi="Times New Roman" w:cs="Times New Roman"/>
          <w:b/>
          <w:lang w:bidi="he-IL"/>
        </w:rPr>
      </w:pPr>
      <w:r w:rsidRPr="001648E5">
        <w:rPr>
          <w:rFonts w:ascii="Times New Roman" w:eastAsia="BatangChe" w:hAnsi="Times New Roman" w:cs="Times New Roman"/>
          <w:b/>
          <w:lang w:bidi="he-IL"/>
        </w:rPr>
        <w:t>1</w:t>
      </w:r>
      <w:r>
        <w:rPr>
          <w:rFonts w:ascii="Times New Roman" w:eastAsia="BatangChe" w:hAnsi="Times New Roman" w:cs="Times New Roman"/>
          <w:b/>
          <w:lang w:bidi="he-IL"/>
        </w:rPr>
        <w:t xml:space="preserve"> </w:t>
      </w:r>
      <w:r>
        <w:rPr>
          <w:rFonts w:ascii="Times New Roman" w:eastAsia="BatangChe" w:hAnsi="Times New Roman" w:cs="Times New Roman"/>
          <w:b/>
          <w:lang w:bidi="he-IL"/>
        </w:rPr>
        <w:tab/>
      </w:r>
      <w:r w:rsidRPr="001648E5">
        <w:rPr>
          <w:rFonts w:ascii="Times New Roman" w:eastAsia="BatangChe" w:hAnsi="Times New Roman" w:cs="Times New Roman"/>
          <w:b/>
          <w:lang w:bidi="he-IL"/>
        </w:rPr>
        <w:t>Introduction</w:t>
      </w:r>
    </w:p>
    <w:p w14:paraId="72C0F9FC" w14:textId="77777777" w:rsidR="00080873" w:rsidRDefault="00080873" w:rsidP="00080873">
      <w:pPr>
        <w:pStyle w:val="Frspaiere"/>
        <w:jc w:val="both"/>
        <w:rPr>
          <w:rFonts w:ascii="Times New Roman" w:eastAsia="BatangChe" w:hAnsi="Times New Roman" w:cs="Times New Roman"/>
          <w:lang w:val="ro-RO" w:bidi="he-IL"/>
        </w:rPr>
      </w:pPr>
    </w:p>
    <w:p w14:paraId="4ABCE814" w14:textId="659ABC93" w:rsidR="00080873" w:rsidRPr="00080873" w:rsidRDefault="00080873" w:rsidP="00080873">
      <w:pPr>
        <w:pStyle w:val="Frspaiere"/>
        <w:jc w:val="both"/>
        <w:rPr>
          <w:rFonts w:ascii="Times New Roman" w:eastAsia="BatangChe" w:hAnsi="Times New Roman" w:cs="Times New Roman"/>
          <w:lang w:val="ro-RO" w:bidi="he-IL"/>
        </w:rPr>
      </w:pPr>
      <w:r w:rsidRPr="00080873">
        <w:rPr>
          <w:rFonts w:ascii="Times New Roman" w:eastAsia="BatangChe" w:hAnsi="Times New Roman" w:cs="Times New Roman"/>
          <w:lang w:val="ro-RO" w:bidi="he-IL"/>
        </w:rPr>
        <w:t xml:space="preserve">In </w:t>
      </w:r>
      <w:proofErr w:type="spellStart"/>
      <w:r w:rsidRPr="00080873">
        <w:rPr>
          <w:rFonts w:ascii="Times New Roman" w:eastAsia="BatangChe" w:hAnsi="Times New Roman" w:cs="Times New Roman"/>
          <w:lang w:val="ro-RO" w:bidi="he-IL"/>
        </w:rPr>
        <w:t>the</w:t>
      </w:r>
      <w:proofErr w:type="spellEnd"/>
      <w:r w:rsidRPr="00080873">
        <w:rPr>
          <w:rFonts w:ascii="Times New Roman" w:eastAsia="BatangChe" w:hAnsi="Times New Roman" w:cs="Times New Roman"/>
          <w:lang w:val="ro-RO" w:bidi="he-IL"/>
        </w:rPr>
        <w:t xml:space="preserve"> context of European </w:t>
      </w:r>
      <w:proofErr w:type="spellStart"/>
      <w:r w:rsidRPr="00080873">
        <w:rPr>
          <w:rFonts w:ascii="Times New Roman" w:eastAsia="BatangChe" w:hAnsi="Times New Roman" w:cs="Times New Roman"/>
          <w:lang w:val="ro-RO" w:bidi="he-IL"/>
        </w:rPr>
        <w:t>integration</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and</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the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strengthening</w:t>
      </w:r>
      <w:proofErr w:type="spellEnd"/>
      <w:r w:rsidRPr="00080873">
        <w:rPr>
          <w:rFonts w:ascii="Times New Roman" w:eastAsia="BatangChe" w:hAnsi="Times New Roman" w:cs="Times New Roman"/>
          <w:lang w:val="ro-RO" w:bidi="he-IL"/>
        </w:rPr>
        <w:t xml:space="preserve"> of a </w:t>
      </w:r>
      <w:proofErr w:type="spellStart"/>
      <w:r w:rsidRPr="00080873">
        <w:rPr>
          <w:rFonts w:ascii="Times New Roman" w:eastAsia="BatangChe" w:hAnsi="Times New Roman" w:cs="Times New Roman"/>
          <w:lang w:val="ro-RO" w:bidi="he-IL"/>
        </w:rPr>
        <w:t>common</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area</w:t>
      </w:r>
      <w:proofErr w:type="spellEnd"/>
      <w:r w:rsidRPr="00080873">
        <w:rPr>
          <w:rFonts w:ascii="Times New Roman" w:eastAsia="BatangChe" w:hAnsi="Times New Roman" w:cs="Times New Roman"/>
          <w:lang w:val="ro-RO" w:bidi="he-IL"/>
        </w:rPr>
        <w:t xml:space="preserve"> of </w:t>
      </w:r>
      <w:proofErr w:type="spellStart"/>
      <w:r w:rsidRPr="00080873">
        <w:rPr>
          <w:rFonts w:ascii="Times New Roman" w:eastAsia="BatangChe" w:hAnsi="Times New Roman" w:cs="Times New Roman"/>
          <w:lang w:val="ro-RO" w:bidi="he-IL"/>
        </w:rPr>
        <w:t>freedom</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security</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and</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justice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the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harmonization</w:t>
      </w:r>
      <w:proofErr w:type="spellEnd"/>
      <w:r w:rsidRPr="00080873">
        <w:rPr>
          <w:rFonts w:ascii="Times New Roman" w:eastAsia="BatangChe" w:hAnsi="Times New Roman" w:cs="Times New Roman"/>
          <w:lang w:val="ro-RO" w:bidi="he-IL"/>
        </w:rPr>
        <w:t xml:space="preserve"> of </w:t>
      </w:r>
      <w:proofErr w:type="spellStart"/>
      <w:r w:rsidRPr="00080873">
        <w:rPr>
          <w:rFonts w:ascii="Times New Roman" w:eastAsia="BatangChe" w:hAnsi="Times New Roman" w:cs="Times New Roman"/>
          <w:lang w:val="ro-RO" w:bidi="he-IL"/>
        </w:rPr>
        <w:t>national</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legislation</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with</w:t>
      </w:r>
      <w:proofErr w:type="spellEnd"/>
      <w:r w:rsidRPr="00080873">
        <w:rPr>
          <w:rFonts w:ascii="Times New Roman" w:eastAsia="BatangChe" w:hAnsi="Times New Roman" w:cs="Times New Roman"/>
          <w:lang w:val="ro-RO" w:bidi="he-IL"/>
        </w:rPr>
        <w:t xml:space="preserve"> European Union </w:t>
      </w:r>
      <w:proofErr w:type="spellStart"/>
      <w:r w:rsidRPr="00080873">
        <w:rPr>
          <w:rFonts w:ascii="Times New Roman" w:eastAsia="BatangChe" w:hAnsi="Times New Roman" w:cs="Times New Roman"/>
          <w:lang w:val="ro-RO" w:bidi="he-IL"/>
        </w:rPr>
        <w:t>law</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has</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become</w:t>
      </w:r>
      <w:proofErr w:type="spellEnd"/>
      <w:r w:rsidRPr="00080873">
        <w:rPr>
          <w:rFonts w:ascii="Times New Roman" w:eastAsia="BatangChe" w:hAnsi="Times New Roman" w:cs="Times New Roman"/>
          <w:lang w:val="ro-RO" w:bidi="he-IL"/>
        </w:rPr>
        <w:t xml:space="preserve"> a major imperative for </w:t>
      </w:r>
      <w:proofErr w:type="spellStart"/>
      <w:r w:rsidRPr="00080873">
        <w:rPr>
          <w:rFonts w:ascii="Times New Roman" w:eastAsia="BatangChe" w:hAnsi="Times New Roman" w:cs="Times New Roman"/>
          <w:lang w:val="ro-RO" w:bidi="he-IL"/>
        </w:rPr>
        <w:t>the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Member</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States</w:t>
      </w:r>
      <w:proofErr w:type="spellEnd"/>
      <w:r w:rsidRPr="00080873">
        <w:rPr>
          <w:rFonts w:ascii="Times New Roman" w:eastAsia="BatangChe" w:hAnsi="Times New Roman" w:cs="Times New Roman"/>
          <w:lang w:val="ro-RO" w:bidi="he-IL"/>
        </w:rPr>
        <w:t xml:space="preserve">. In </w:t>
      </w:r>
      <w:proofErr w:type="spellStart"/>
      <w:r w:rsidRPr="00080873">
        <w:rPr>
          <w:rFonts w:ascii="Times New Roman" w:eastAsia="BatangChe" w:hAnsi="Times New Roman" w:cs="Times New Roman"/>
          <w:lang w:val="ro-RO" w:bidi="he-IL"/>
        </w:rPr>
        <w:t>the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field</w:t>
      </w:r>
      <w:proofErr w:type="spellEnd"/>
      <w:r w:rsidRPr="00080873">
        <w:rPr>
          <w:rFonts w:ascii="Times New Roman" w:eastAsia="BatangChe" w:hAnsi="Times New Roman" w:cs="Times New Roman"/>
          <w:lang w:val="ro-RO" w:bidi="he-IL"/>
        </w:rPr>
        <w:t xml:space="preserve"> of criminal </w:t>
      </w:r>
      <w:proofErr w:type="spellStart"/>
      <w:r w:rsidRPr="00080873">
        <w:rPr>
          <w:rFonts w:ascii="Times New Roman" w:eastAsia="BatangChe" w:hAnsi="Times New Roman" w:cs="Times New Roman"/>
          <w:lang w:val="ro-RO" w:bidi="he-IL"/>
        </w:rPr>
        <w:t>law</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this</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harmonization</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goes</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beyond</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criminalization</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and</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sanctions</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extending</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significantly</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to</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the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procedures</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through</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which</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these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norms</w:t>
      </w:r>
      <w:proofErr w:type="spellEnd"/>
      <w:r w:rsidRPr="00080873">
        <w:rPr>
          <w:rFonts w:ascii="Times New Roman" w:eastAsia="BatangChe" w:hAnsi="Times New Roman" w:cs="Times New Roman"/>
          <w:lang w:val="ro-RO" w:bidi="he-IL"/>
        </w:rPr>
        <w:t xml:space="preserve"> are </w:t>
      </w:r>
      <w:proofErr w:type="spellStart"/>
      <w:r w:rsidRPr="00080873">
        <w:rPr>
          <w:rFonts w:ascii="Times New Roman" w:eastAsia="BatangChe" w:hAnsi="Times New Roman" w:cs="Times New Roman"/>
          <w:lang w:val="ro-RO" w:bidi="he-IL"/>
        </w:rPr>
        <w:t>applied</w:t>
      </w:r>
      <w:proofErr w:type="spellEnd"/>
      <w:r w:rsidRPr="00080873">
        <w:rPr>
          <w:rFonts w:ascii="Times New Roman" w:eastAsia="BatangChe" w:hAnsi="Times New Roman" w:cs="Times New Roman"/>
          <w:lang w:val="ro-RO" w:bidi="he-IL"/>
        </w:rPr>
        <w:t xml:space="preserve">. As </w:t>
      </w:r>
      <w:proofErr w:type="spellStart"/>
      <w:r w:rsidRPr="00080873">
        <w:rPr>
          <w:rFonts w:ascii="Times New Roman" w:eastAsia="BatangChe" w:hAnsi="Times New Roman" w:cs="Times New Roman"/>
          <w:lang w:val="ro-RO" w:bidi="he-IL"/>
        </w:rPr>
        <w:t>such</w:t>
      </w:r>
      <w:proofErr w:type="spellEnd"/>
      <w:r w:rsidRPr="00080873">
        <w:rPr>
          <w:rFonts w:ascii="Times New Roman" w:eastAsia="BatangChe" w:hAnsi="Times New Roman" w:cs="Times New Roman"/>
          <w:lang w:val="ro-RO" w:bidi="he-IL"/>
        </w:rPr>
        <w:t xml:space="preserve">, European </w:t>
      </w:r>
      <w:proofErr w:type="spellStart"/>
      <w:r w:rsidRPr="00080873">
        <w:rPr>
          <w:rFonts w:ascii="Times New Roman" w:eastAsia="BatangChe" w:hAnsi="Times New Roman" w:cs="Times New Roman"/>
          <w:lang w:val="ro-RO" w:bidi="he-IL"/>
        </w:rPr>
        <w:t>directives</w:t>
      </w:r>
      <w:proofErr w:type="spellEnd"/>
      <w:r w:rsidRPr="00080873">
        <w:rPr>
          <w:rFonts w:ascii="Times New Roman" w:eastAsia="BatangChe" w:hAnsi="Times New Roman" w:cs="Times New Roman"/>
          <w:lang w:val="ro-RO" w:bidi="he-IL"/>
        </w:rPr>
        <w:t xml:space="preserve"> in </w:t>
      </w:r>
      <w:proofErr w:type="spellStart"/>
      <w:r w:rsidRPr="00080873">
        <w:rPr>
          <w:rFonts w:ascii="Times New Roman" w:eastAsia="BatangChe" w:hAnsi="Times New Roman" w:cs="Times New Roman"/>
          <w:lang w:val="ro-RO" w:bidi="he-IL"/>
        </w:rPr>
        <w:t>the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field</w:t>
      </w:r>
      <w:proofErr w:type="spellEnd"/>
      <w:r w:rsidRPr="00080873">
        <w:rPr>
          <w:rFonts w:ascii="Times New Roman" w:eastAsia="BatangChe" w:hAnsi="Times New Roman" w:cs="Times New Roman"/>
          <w:lang w:val="ro-RO" w:bidi="he-IL"/>
        </w:rPr>
        <w:t xml:space="preserve"> of criminal </w:t>
      </w:r>
      <w:proofErr w:type="spellStart"/>
      <w:r w:rsidRPr="00080873">
        <w:rPr>
          <w:rFonts w:ascii="Times New Roman" w:eastAsia="BatangChe" w:hAnsi="Times New Roman" w:cs="Times New Roman"/>
          <w:lang w:val="ro-RO" w:bidi="he-IL"/>
        </w:rPr>
        <w:t>law</w:t>
      </w:r>
      <w:proofErr w:type="spellEnd"/>
      <w:r>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especially</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those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regulating</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the</w:t>
      </w:r>
      <w:proofErr w:type="spellEnd"/>
      <w:r w:rsidRPr="00080873">
        <w:rPr>
          <w:rFonts w:ascii="Times New Roman" w:eastAsia="BatangChe" w:hAnsi="Times New Roman" w:cs="Times New Roman"/>
          <w:lang w:val="ro-RO" w:bidi="he-IL"/>
        </w:rPr>
        <w:t xml:space="preserve"> procedural </w:t>
      </w:r>
      <w:proofErr w:type="spellStart"/>
      <w:r w:rsidRPr="00080873">
        <w:rPr>
          <w:rFonts w:ascii="Times New Roman" w:eastAsia="BatangChe" w:hAnsi="Times New Roman" w:cs="Times New Roman"/>
          <w:lang w:val="ro-RO" w:bidi="he-IL"/>
        </w:rPr>
        <w:t>rights</w:t>
      </w:r>
      <w:proofErr w:type="spellEnd"/>
      <w:r w:rsidRPr="00080873">
        <w:rPr>
          <w:rFonts w:ascii="Times New Roman" w:eastAsia="BatangChe" w:hAnsi="Times New Roman" w:cs="Times New Roman"/>
          <w:lang w:val="ro-RO" w:bidi="he-IL"/>
        </w:rPr>
        <w:t xml:space="preserve"> of </w:t>
      </w:r>
      <w:proofErr w:type="spellStart"/>
      <w:r w:rsidRPr="00080873">
        <w:rPr>
          <w:rFonts w:ascii="Times New Roman" w:eastAsia="BatangChe" w:hAnsi="Times New Roman" w:cs="Times New Roman"/>
          <w:lang w:val="ro-RO" w:bidi="he-IL"/>
        </w:rPr>
        <w:t>suspects</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and</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accused</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persons</w:t>
      </w:r>
      <w:proofErr w:type="spellEnd"/>
      <w:r>
        <w:rPr>
          <w:rFonts w:ascii="Times New Roman" w:eastAsia="BatangChe" w:hAnsi="Times New Roman" w:cs="Times New Roman"/>
          <w:lang w:val="ro-RO" w:bidi="he-IL"/>
        </w:rPr>
        <w:t xml:space="preserve"> </w:t>
      </w:r>
      <w:r w:rsidRPr="00080873">
        <w:rPr>
          <w:rFonts w:ascii="Times New Roman" w:eastAsia="BatangChe" w:hAnsi="Times New Roman" w:cs="Times New Roman"/>
          <w:lang w:val="ro-RO" w:bidi="he-IL"/>
        </w:rPr>
        <w:t xml:space="preserve">play a crucial role in </w:t>
      </w:r>
      <w:proofErr w:type="spellStart"/>
      <w:r w:rsidRPr="00080873">
        <w:rPr>
          <w:rFonts w:ascii="Times New Roman" w:eastAsia="BatangChe" w:hAnsi="Times New Roman" w:cs="Times New Roman"/>
          <w:lang w:val="ro-RO" w:bidi="he-IL"/>
        </w:rPr>
        <w:t>the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standardization</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and</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balancing</w:t>
      </w:r>
      <w:proofErr w:type="spellEnd"/>
      <w:r w:rsidRPr="00080873">
        <w:rPr>
          <w:rFonts w:ascii="Times New Roman" w:eastAsia="BatangChe" w:hAnsi="Times New Roman" w:cs="Times New Roman"/>
          <w:lang w:val="ro-RO" w:bidi="he-IL"/>
        </w:rPr>
        <w:t xml:space="preserve"> of criminal </w:t>
      </w:r>
      <w:proofErr w:type="spellStart"/>
      <w:r w:rsidRPr="00080873">
        <w:rPr>
          <w:rFonts w:ascii="Times New Roman" w:eastAsia="BatangChe" w:hAnsi="Times New Roman" w:cs="Times New Roman"/>
          <w:lang w:val="ro-RO" w:bidi="he-IL"/>
        </w:rPr>
        <w:t>justice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systems</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within</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the</w:t>
      </w:r>
      <w:proofErr w:type="spellEnd"/>
      <w:r w:rsidRPr="00080873">
        <w:rPr>
          <w:rFonts w:ascii="Times New Roman" w:eastAsia="BatangChe" w:hAnsi="Times New Roman" w:cs="Times New Roman"/>
          <w:lang w:val="ro-RO" w:bidi="he-IL"/>
        </w:rPr>
        <w:t xml:space="preserve"> Union.</w:t>
      </w:r>
    </w:p>
    <w:p w14:paraId="511E2F2F" w14:textId="77777777" w:rsidR="00080873" w:rsidRDefault="00080873" w:rsidP="00080873">
      <w:pPr>
        <w:pStyle w:val="Frspaiere"/>
        <w:jc w:val="both"/>
        <w:rPr>
          <w:rFonts w:ascii="Times New Roman" w:eastAsia="BatangChe" w:hAnsi="Times New Roman" w:cs="Times New Roman"/>
          <w:lang w:val="ro-RO" w:bidi="he-IL"/>
        </w:rPr>
      </w:pPr>
    </w:p>
    <w:p w14:paraId="4C202F31" w14:textId="21AEFC9F" w:rsidR="00080873" w:rsidRPr="00080873" w:rsidRDefault="00080873" w:rsidP="00080873">
      <w:pPr>
        <w:pStyle w:val="Frspaiere"/>
        <w:jc w:val="both"/>
        <w:rPr>
          <w:rFonts w:ascii="Times New Roman" w:eastAsia="BatangChe" w:hAnsi="Times New Roman" w:cs="Times New Roman"/>
          <w:lang w:val="ro-RO" w:bidi="he-IL"/>
        </w:rPr>
      </w:pPr>
      <w:r w:rsidRPr="00080873">
        <w:rPr>
          <w:rFonts w:ascii="Times New Roman" w:eastAsia="BatangChe" w:hAnsi="Times New Roman" w:cs="Times New Roman"/>
          <w:lang w:val="ro-RO" w:bidi="he-IL"/>
        </w:rPr>
        <w:t xml:space="preserve">In recent </w:t>
      </w:r>
      <w:proofErr w:type="spellStart"/>
      <w:r w:rsidRPr="00080873">
        <w:rPr>
          <w:rFonts w:ascii="Times New Roman" w:eastAsia="BatangChe" w:hAnsi="Times New Roman" w:cs="Times New Roman"/>
          <w:lang w:val="ro-RO" w:bidi="he-IL"/>
        </w:rPr>
        <w:t>years</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the</w:t>
      </w:r>
      <w:proofErr w:type="spellEnd"/>
      <w:r w:rsidRPr="00080873">
        <w:rPr>
          <w:rFonts w:ascii="Times New Roman" w:eastAsia="BatangChe" w:hAnsi="Times New Roman" w:cs="Times New Roman"/>
          <w:lang w:val="ro-RO" w:bidi="he-IL"/>
        </w:rPr>
        <w:t xml:space="preserve"> European Union </w:t>
      </w:r>
      <w:proofErr w:type="spellStart"/>
      <w:r w:rsidRPr="00080873">
        <w:rPr>
          <w:rFonts w:ascii="Times New Roman" w:eastAsia="BatangChe" w:hAnsi="Times New Roman" w:cs="Times New Roman"/>
          <w:lang w:val="ro-RO" w:bidi="he-IL"/>
        </w:rPr>
        <w:t>has</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adopted</w:t>
      </w:r>
      <w:proofErr w:type="spellEnd"/>
      <w:r w:rsidRPr="00080873">
        <w:rPr>
          <w:rFonts w:ascii="Times New Roman" w:eastAsia="BatangChe" w:hAnsi="Times New Roman" w:cs="Times New Roman"/>
          <w:lang w:val="ro-RO" w:bidi="he-IL"/>
        </w:rPr>
        <w:t xml:space="preserve"> a </w:t>
      </w:r>
      <w:proofErr w:type="spellStart"/>
      <w:r w:rsidRPr="00080873">
        <w:rPr>
          <w:rFonts w:ascii="Times New Roman" w:eastAsia="BatangChe" w:hAnsi="Times New Roman" w:cs="Times New Roman"/>
          <w:lang w:val="ro-RO" w:bidi="he-IL"/>
        </w:rPr>
        <w:t>series</w:t>
      </w:r>
      <w:proofErr w:type="spellEnd"/>
      <w:r w:rsidRPr="00080873">
        <w:rPr>
          <w:rFonts w:ascii="Times New Roman" w:eastAsia="BatangChe" w:hAnsi="Times New Roman" w:cs="Times New Roman"/>
          <w:lang w:val="ro-RO" w:bidi="he-IL"/>
        </w:rPr>
        <w:t xml:space="preserve"> of </w:t>
      </w:r>
      <w:proofErr w:type="spellStart"/>
      <w:r w:rsidRPr="00080873">
        <w:rPr>
          <w:rFonts w:ascii="Times New Roman" w:eastAsia="BatangChe" w:hAnsi="Times New Roman" w:cs="Times New Roman"/>
          <w:lang w:val="ro-RO" w:bidi="he-IL"/>
        </w:rPr>
        <w:t>directives</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aimed</w:t>
      </w:r>
      <w:proofErr w:type="spellEnd"/>
      <w:r w:rsidRPr="00080873">
        <w:rPr>
          <w:rFonts w:ascii="Times New Roman" w:eastAsia="BatangChe" w:hAnsi="Times New Roman" w:cs="Times New Roman"/>
          <w:lang w:val="ro-RO" w:bidi="he-IL"/>
        </w:rPr>
        <w:t xml:space="preserve"> at </w:t>
      </w:r>
      <w:proofErr w:type="spellStart"/>
      <w:r w:rsidRPr="00080873">
        <w:rPr>
          <w:rFonts w:ascii="Times New Roman" w:eastAsia="BatangChe" w:hAnsi="Times New Roman" w:cs="Times New Roman"/>
          <w:lang w:val="ro-RO" w:bidi="he-IL"/>
        </w:rPr>
        <w:t>strengthening</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the</w:t>
      </w:r>
      <w:proofErr w:type="spellEnd"/>
      <w:r w:rsidRPr="00080873">
        <w:rPr>
          <w:rFonts w:ascii="Times New Roman" w:eastAsia="BatangChe" w:hAnsi="Times New Roman" w:cs="Times New Roman"/>
          <w:lang w:val="ro-RO" w:bidi="he-IL"/>
        </w:rPr>
        <w:t xml:space="preserve"> fundamental </w:t>
      </w:r>
      <w:proofErr w:type="spellStart"/>
      <w:r w:rsidRPr="00080873">
        <w:rPr>
          <w:rFonts w:ascii="Times New Roman" w:eastAsia="BatangChe" w:hAnsi="Times New Roman" w:cs="Times New Roman"/>
          <w:lang w:val="ro-RO" w:bidi="he-IL"/>
        </w:rPr>
        <w:t>rights</w:t>
      </w:r>
      <w:proofErr w:type="spellEnd"/>
      <w:r w:rsidRPr="00080873">
        <w:rPr>
          <w:rFonts w:ascii="Times New Roman" w:eastAsia="BatangChe" w:hAnsi="Times New Roman" w:cs="Times New Roman"/>
          <w:lang w:val="ro-RO" w:bidi="he-IL"/>
        </w:rPr>
        <w:t xml:space="preserve"> of </w:t>
      </w:r>
      <w:proofErr w:type="spellStart"/>
      <w:r w:rsidRPr="00080873">
        <w:rPr>
          <w:rFonts w:ascii="Times New Roman" w:eastAsia="BatangChe" w:hAnsi="Times New Roman" w:cs="Times New Roman"/>
          <w:lang w:val="ro-RO" w:bidi="he-IL"/>
        </w:rPr>
        <w:t>individuals</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involved</w:t>
      </w:r>
      <w:proofErr w:type="spellEnd"/>
      <w:r w:rsidRPr="00080873">
        <w:rPr>
          <w:rFonts w:ascii="Times New Roman" w:eastAsia="BatangChe" w:hAnsi="Times New Roman" w:cs="Times New Roman"/>
          <w:lang w:val="ro-RO" w:bidi="he-IL"/>
        </w:rPr>
        <w:t xml:space="preserve"> in criminal </w:t>
      </w:r>
      <w:proofErr w:type="spellStart"/>
      <w:r w:rsidRPr="00080873">
        <w:rPr>
          <w:rFonts w:ascii="Times New Roman" w:eastAsia="BatangChe" w:hAnsi="Times New Roman" w:cs="Times New Roman"/>
          <w:lang w:val="ro-RO" w:bidi="he-IL"/>
        </w:rPr>
        <w:t>proceedings</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such</w:t>
      </w:r>
      <w:proofErr w:type="spellEnd"/>
      <w:r w:rsidRPr="00080873">
        <w:rPr>
          <w:rFonts w:ascii="Times New Roman" w:eastAsia="BatangChe" w:hAnsi="Times New Roman" w:cs="Times New Roman"/>
          <w:lang w:val="ro-RO" w:bidi="he-IL"/>
        </w:rPr>
        <w:t xml:space="preserve"> as </w:t>
      </w:r>
      <w:proofErr w:type="spellStart"/>
      <w:r w:rsidRPr="00080873">
        <w:rPr>
          <w:rFonts w:ascii="Times New Roman" w:eastAsia="BatangChe" w:hAnsi="Times New Roman" w:cs="Times New Roman"/>
          <w:lang w:val="ro-RO" w:bidi="he-IL"/>
        </w:rPr>
        <w:t>the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right</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to</w:t>
      </w:r>
      <w:proofErr w:type="spellEnd"/>
      <w:r w:rsidRPr="00080873">
        <w:rPr>
          <w:rFonts w:ascii="Times New Roman" w:eastAsia="BatangChe" w:hAnsi="Times New Roman" w:cs="Times New Roman"/>
          <w:lang w:val="ro-RO" w:bidi="he-IL"/>
        </w:rPr>
        <w:t xml:space="preserve"> a fair trial, </w:t>
      </w:r>
      <w:proofErr w:type="spellStart"/>
      <w:r w:rsidRPr="00080873">
        <w:rPr>
          <w:rFonts w:ascii="Times New Roman" w:eastAsia="BatangChe" w:hAnsi="Times New Roman" w:cs="Times New Roman"/>
          <w:lang w:val="ro-RO" w:bidi="he-IL"/>
        </w:rPr>
        <w:t>access</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to</w:t>
      </w:r>
      <w:proofErr w:type="spellEnd"/>
      <w:r w:rsidRPr="00080873">
        <w:rPr>
          <w:rFonts w:ascii="Times New Roman" w:eastAsia="BatangChe" w:hAnsi="Times New Roman" w:cs="Times New Roman"/>
          <w:lang w:val="ro-RO" w:bidi="he-IL"/>
        </w:rPr>
        <w:t xml:space="preserve"> a </w:t>
      </w:r>
      <w:proofErr w:type="spellStart"/>
      <w:r w:rsidRPr="00080873">
        <w:rPr>
          <w:rFonts w:ascii="Times New Roman" w:eastAsia="BatangChe" w:hAnsi="Times New Roman" w:cs="Times New Roman"/>
          <w:lang w:val="ro-RO" w:bidi="he-IL"/>
        </w:rPr>
        <w:t>lawyer</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the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right</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to</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information</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translation</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and</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interpretation</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and</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the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protection</w:t>
      </w:r>
      <w:proofErr w:type="spellEnd"/>
      <w:r w:rsidRPr="00080873">
        <w:rPr>
          <w:rFonts w:ascii="Times New Roman" w:eastAsia="BatangChe" w:hAnsi="Times New Roman" w:cs="Times New Roman"/>
          <w:lang w:val="ro-RO" w:bidi="he-IL"/>
        </w:rPr>
        <w:t xml:space="preserve"> of </w:t>
      </w:r>
      <w:proofErr w:type="spellStart"/>
      <w:r w:rsidRPr="00080873">
        <w:rPr>
          <w:rFonts w:ascii="Times New Roman" w:eastAsia="BatangChe" w:hAnsi="Times New Roman" w:cs="Times New Roman"/>
          <w:lang w:val="ro-RO" w:bidi="he-IL"/>
        </w:rPr>
        <w:t>vulnerable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persons</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These</w:t>
      </w:r>
      <w:proofErr w:type="spellEnd"/>
      <w:r w:rsidRPr="00080873">
        <w:rPr>
          <w:rFonts w:ascii="Times New Roman" w:eastAsia="BatangChe" w:hAnsi="Times New Roman" w:cs="Times New Roman"/>
          <w:lang w:val="ro-RO" w:bidi="he-IL"/>
        </w:rPr>
        <w:t xml:space="preserve"> legal </w:t>
      </w:r>
      <w:proofErr w:type="spellStart"/>
      <w:r w:rsidRPr="00080873">
        <w:rPr>
          <w:rFonts w:ascii="Times New Roman" w:eastAsia="BatangChe" w:hAnsi="Times New Roman" w:cs="Times New Roman"/>
          <w:lang w:val="ro-RO" w:bidi="he-IL"/>
        </w:rPr>
        <w:t>instruments</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represent</w:t>
      </w:r>
      <w:proofErr w:type="spellEnd"/>
      <w:r w:rsidRPr="00080873">
        <w:rPr>
          <w:rFonts w:ascii="Times New Roman" w:eastAsia="BatangChe" w:hAnsi="Times New Roman" w:cs="Times New Roman"/>
          <w:lang w:val="ro-RO" w:bidi="he-IL"/>
        </w:rPr>
        <w:t xml:space="preserve"> an important step </w:t>
      </w:r>
      <w:proofErr w:type="spellStart"/>
      <w:r w:rsidRPr="00080873">
        <w:rPr>
          <w:rFonts w:ascii="Times New Roman" w:eastAsia="BatangChe" w:hAnsi="Times New Roman" w:cs="Times New Roman"/>
          <w:lang w:val="ro-RO" w:bidi="he-IL"/>
        </w:rPr>
        <w:t>toward</w:t>
      </w:r>
      <w:proofErr w:type="spellEnd"/>
      <w:r w:rsidRPr="00080873">
        <w:rPr>
          <w:rFonts w:ascii="Times New Roman" w:eastAsia="BatangChe" w:hAnsi="Times New Roman" w:cs="Times New Roman"/>
          <w:lang w:val="ro-RO" w:bidi="he-IL"/>
        </w:rPr>
        <w:t xml:space="preserve"> a criminal </w:t>
      </w:r>
      <w:proofErr w:type="spellStart"/>
      <w:r w:rsidRPr="00080873">
        <w:rPr>
          <w:rFonts w:ascii="Times New Roman" w:eastAsia="BatangChe" w:hAnsi="Times New Roman" w:cs="Times New Roman"/>
          <w:lang w:val="ro-RO" w:bidi="he-IL"/>
        </w:rPr>
        <w:t>justice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system</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centered</w:t>
      </w:r>
      <w:proofErr w:type="spellEnd"/>
      <w:r w:rsidRPr="00080873">
        <w:rPr>
          <w:rFonts w:ascii="Times New Roman" w:eastAsia="BatangChe" w:hAnsi="Times New Roman" w:cs="Times New Roman"/>
          <w:lang w:val="ro-RO" w:bidi="he-IL"/>
        </w:rPr>
        <w:t xml:space="preserve"> on </w:t>
      </w:r>
      <w:proofErr w:type="spellStart"/>
      <w:r w:rsidRPr="00080873">
        <w:rPr>
          <w:rFonts w:ascii="Times New Roman" w:eastAsia="BatangChe" w:hAnsi="Times New Roman" w:cs="Times New Roman"/>
          <w:lang w:val="ro-RO" w:bidi="he-IL"/>
        </w:rPr>
        <w:t>the</w:t>
      </w:r>
      <w:proofErr w:type="spellEnd"/>
      <w:r w:rsidRPr="00080873">
        <w:rPr>
          <w:rFonts w:ascii="Times New Roman" w:eastAsia="BatangChe" w:hAnsi="Times New Roman" w:cs="Times New Roman"/>
          <w:lang w:val="ro-RO" w:bidi="he-IL"/>
        </w:rPr>
        <w:t xml:space="preserve"> individual </w:t>
      </w:r>
      <w:proofErr w:type="spellStart"/>
      <w:r w:rsidRPr="00080873">
        <w:rPr>
          <w:rFonts w:ascii="Times New Roman" w:eastAsia="BatangChe" w:hAnsi="Times New Roman" w:cs="Times New Roman"/>
          <w:lang w:val="ro-RO" w:bidi="he-IL"/>
        </w:rPr>
        <w:t>and</w:t>
      </w:r>
      <w:proofErr w:type="spellEnd"/>
      <w:r w:rsidRPr="00080873">
        <w:rPr>
          <w:rFonts w:ascii="Times New Roman" w:eastAsia="BatangChe" w:hAnsi="Times New Roman" w:cs="Times New Roman"/>
          <w:lang w:val="ro-RO" w:bidi="he-IL"/>
        </w:rPr>
        <w:t xml:space="preserve"> on </w:t>
      </w:r>
      <w:proofErr w:type="spellStart"/>
      <w:r w:rsidRPr="00080873">
        <w:rPr>
          <w:rFonts w:ascii="Times New Roman" w:eastAsia="BatangChe" w:hAnsi="Times New Roman" w:cs="Times New Roman"/>
          <w:lang w:val="ro-RO" w:bidi="he-IL"/>
        </w:rPr>
        <w:t>the</w:t>
      </w:r>
      <w:proofErr w:type="spellEnd"/>
      <w:r w:rsidRPr="00080873">
        <w:rPr>
          <w:rFonts w:ascii="Times New Roman" w:eastAsia="BatangChe" w:hAnsi="Times New Roman" w:cs="Times New Roman"/>
          <w:lang w:val="ro-RO" w:bidi="he-IL"/>
        </w:rPr>
        <w:t xml:space="preserve"> respect for </w:t>
      </w:r>
      <w:proofErr w:type="spellStart"/>
      <w:r w:rsidRPr="00080873">
        <w:rPr>
          <w:rFonts w:ascii="Times New Roman" w:eastAsia="BatangChe" w:hAnsi="Times New Roman" w:cs="Times New Roman"/>
          <w:lang w:val="ro-RO" w:bidi="he-IL"/>
        </w:rPr>
        <w:t>human</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dignity</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regardless</w:t>
      </w:r>
      <w:proofErr w:type="spellEnd"/>
      <w:r w:rsidRPr="00080873">
        <w:rPr>
          <w:rFonts w:ascii="Times New Roman" w:eastAsia="BatangChe" w:hAnsi="Times New Roman" w:cs="Times New Roman"/>
          <w:lang w:val="ro-RO" w:bidi="he-IL"/>
        </w:rPr>
        <w:t xml:space="preserve"> of </w:t>
      </w:r>
      <w:proofErr w:type="spellStart"/>
      <w:r w:rsidRPr="00080873">
        <w:rPr>
          <w:rFonts w:ascii="Times New Roman" w:eastAsia="BatangChe" w:hAnsi="Times New Roman" w:cs="Times New Roman"/>
          <w:lang w:val="ro-RO" w:bidi="he-IL"/>
        </w:rPr>
        <w:t>national</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borders</w:t>
      </w:r>
      <w:proofErr w:type="spellEnd"/>
      <w:r w:rsidRPr="00080873">
        <w:rPr>
          <w:rFonts w:ascii="Times New Roman" w:eastAsia="BatangChe" w:hAnsi="Times New Roman" w:cs="Times New Roman"/>
          <w:lang w:val="ro-RO" w:bidi="he-IL"/>
        </w:rPr>
        <w:t>.</w:t>
      </w:r>
    </w:p>
    <w:p w14:paraId="6EAD4FF2" w14:textId="77777777" w:rsidR="00080873" w:rsidRDefault="00080873" w:rsidP="00080873">
      <w:pPr>
        <w:pStyle w:val="Frspaiere"/>
        <w:jc w:val="both"/>
        <w:rPr>
          <w:rFonts w:ascii="Times New Roman" w:eastAsia="BatangChe" w:hAnsi="Times New Roman" w:cs="Times New Roman"/>
          <w:lang w:val="ro-RO" w:bidi="he-IL"/>
        </w:rPr>
      </w:pPr>
    </w:p>
    <w:p w14:paraId="09BF422C" w14:textId="7C4142D1" w:rsidR="00080873" w:rsidRPr="00080873" w:rsidRDefault="00080873" w:rsidP="00080873">
      <w:pPr>
        <w:pStyle w:val="Frspaiere"/>
        <w:jc w:val="both"/>
        <w:rPr>
          <w:rFonts w:ascii="Times New Roman" w:eastAsia="BatangChe" w:hAnsi="Times New Roman" w:cs="Times New Roman"/>
          <w:lang w:val="ro-RO" w:bidi="he-IL"/>
        </w:rPr>
      </w:pPr>
      <w:proofErr w:type="spellStart"/>
      <w:r w:rsidRPr="00080873">
        <w:rPr>
          <w:rFonts w:ascii="Times New Roman" w:eastAsia="BatangChe" w:hAnsi="Times New Roman" w:cs="Times New Roman"/>
          <w:lang w:val="ro-RO" w:bidi="he-IL"/>
        </w:rPr>
        <w:t>However</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the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transposition</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and</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implementation</w:t>
      </w:r>
      <w:proofErr w:type="spellEnd"/>
      <w:r w:rsidRPr="00080873">
        <w:rPr>
          <w:rFonts w:ascii="Times New Roman" w:eastAsia="BatangChe" w:hAnsi="Times New Roman" w:cs="Times New Roman"/>
          <w:lang w:val="ro-RO" w:bidi="he-IL"/>
        </w:rPr>
        <w:t xml:space="preserve"> of </w:t>
      </w:r>
      <w:proofErr w:type="spellStart"/>
      <w:r w:rsidRPr="00080873">
        <w:rPr>
          <w:rFonts w:ascii="Times New Roman" w:eastAsia="BatangChe" w:hAnsi="Times New Roman" w:cs="Times New Roman"/>
          <w:lang w:val="ro-RO" w:bidi="he-IL"/>
        </w:rPr>
        <w:t>these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directives</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into</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the</w:t>
      </w:r>
      <w:proofErr w:type="spellEnd"/>
      <w:r w:rsidRPr="00080873">
        <w:rPr>
          <w:rFonts w:ascii="Times New Roman" w:eastAsia="BatangChe" w:hAnsi="Times New Roman" w:cs="Times New Roman"/>
          <w:lang w:val="ro-RO" w:bidi="he-IL"/>
        </w:rPr>
        <w:t xml:space="preserve"> domestic </w:t>
      </w:r>
      <w:proofErr w:type="spellStart"/>
      <w:r w:rsidRPr="00080873">
        <w:rPr>
          <w:rFonts w:ascii="Times New Roman" w:eastAsia="BatangChe" w:hAnsi="Times New Roman" w:cs="Times New Roman"/>
          <w:lang w:val="ro-RO" w:bidi="he-IL"/>
        </w:rPr>
        <w:t>law</w:t>
      </w:r>
      <w:proofErr w:type="spellEnd"/>
      <w:r w:rsidRPr="00080873">
        <w:rPr>
          <w:rFonts w:ascii="Times New Roman" w:eastAsia="BatangChe" w:hAnsi="Times New Roman" w:cs="Times New Roman"/>
          <w:lang w:val="ro-RO" w:bidi="he-IL"/>
        </w:rPr>
        <w:t xml:space="preserve"> of </w:t>
      </w:r>
      <w:proofErr w:type="spellStart"/>
      <w:r w:rsidRPr="00080873">
        <w:rPr>
          <w:rFonts w:ascii="Times New Roman" w:eastAsia="BatangChe" w:hAnsi="Times New Roman" w:cs="Times New Roman"/>
          <w:lang w:val="ro-RO" w:bidi="he-IL"/>
        </w:rPr>
        <w:t>the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Member</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States</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including</w:t>
      </w:r>
      <w:proofErr w:type="spellEnd"/>
      <w:r w:rsidRPr="00080873">
        <w:rPr>
          <w:rFonts w:ascii="Times New Roman" w:eastAsia="BatangChe" w:hAnsi="Times New Roman" w:cs="Times New Roman"/>
          <w:lang w:val="ro-RO" w:bidi="he-IL"/>
        </w:rPr>
        <w:t xml:space="preserve"> Romania, </w:t>
      </w:r>
      <w:proofErr w:type="spellStart"/>
      <w:r w:rsidRPr="00080873">
        <w:rPr>
          <w:rFonts w:ascii="Times New Roman" w:eastAsia="BatangChe" w:hAnsi="Times New Roman" w:cs="Times New Roman"/>
          <w:lang w:val="ro-RO" w:bidi="he-IL"/>
        </w:rPr>
        <w:t>pose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numerous</w:t>
      </w:r>
      <w:proofErr w:type="spellEnd"/>
      <w:r w:rsidRPr="00080873">
        <w:rPr>
          <w:rFonts w:ascii="Times New Roman" w:eastAsia="BatangChe" w:hAnsi="Times New Roman" w:cs="Times New Roman"/>
          <w:lang w:val="ro-RO" w:bidi="he-IL"/>
        </w:rPr>
        <w:t xml:space="preserve"> legal, </w:t>
      </w:r>
      <w:proofErr w:type="spellStart"/>
      <w:r w:rsidRPr="00080873">
        <w:rPr>
          <w:rFonts w:ascii="Times New Roman" w:eastAsia="BatangChe" w:hAnsi="Times New Roman" w:cs="Times New Roman"/>
          <w:lang w:val="ro-RO" w:bidi="he-IL"/>
        </w:rPr>
        <w:t>institutional</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and</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practical</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challenges</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From</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adapting</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the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national</w:t>
      </w:r>
      <w:proofErr w:type="spellEnd"/>
      <w:r w:rsidRPr="00080873">
        <w:rPr>
          <w:rFonts w:ascii="Times New Roman" w:eastAsia="BatangChe" w:hAnsi="Times New Roman" w:cs="Times New Roman"/>
          <w:lang w:val="ro-RO" w:bidi="he-IL"/>
        </w:rPr>
        <w:t xml:space="preserve"> legal </w:t>
      </w:r>
      <w:proofErr w:type="spellStart"/>
      <w:r w:rsidRPr="00080873">
        <w:rPr>
          <w:rFonts w:ascii="Times New Roman" w:eastAsia="BatangChe" w:hAnsi="Times New Roman" w:cs="Times New Roman"/>
          <w:lang w:val="ro-RO" w:bidi="he-IL"/>
        </w:rPr>
        <w:t>framework</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to</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meet</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the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new</w:t>
      </w:r>
      <w:proofErr w:type="spellEnd"/>
      <w:r w:rsidRPr="00080873">
        <w:rPr>
          <w:rFonts w:ascii="Times New Roman" w:eastAsia="BatangChe" w:hAnsi="Times New Roman" w:cs="Times New Roman"/>
          <w:lang w:val="ro-RO" w:bidi="he-IL"/>
        </w:rPr>
        <w:t xml:space="preserve"> European </w:t>
      </w:r>
      <w:proofErr w:type="spellStart"/>
      <w:r w:rsidRPr="00080873">
        <w:rPr>
          <w:rFonts w:ascii="Times New Roman" w:eastAsia="BatangChe" w:hAnsi="Times New Roman" w:cs="Times New Roman"/>
          <w:lang w:val="ro-RO" w:bidi="he-IL"/>
        </w:rPr>
        <w:t>requirements</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to</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providing</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professional</w:t>
      </w:r>
      <w:proofErr w:type="spellEnd"/>
      <w:r w:rsidRPr="00080873">
        <w:rPr>
          <w:rFonts w:ascii="Times New Roman" w:eastAsia="BatangChe" w:hAnsi="Times New Roman" w:cs="Times New Roman"/>
          <w:lang w:val="ro-RO" w:bidi="he-IL"/>
        </w:rPr>
        <w:t xml:space="preserve"> training for </w:t>
      </w:r>
      <w:proofErr w:type="spellStart"/>
      <w:r w:rsidRPr="00080873">
        <w:rPr>
          <w:rFonts w:ascii="Times New Roman" w:eastAsia="BatangChe" w:hAnsi="Times New Roman" w:cs="Times New Roman"/>
          <w:lang w:val="ro-RO" w:bidi="he-IL"/>
        </w:rPr>
        <w:t>judges</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and</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auxiliary</w:t>
      </w:r>
      <w:proofErr w:type="spellEnd"/>
      <w:r w:rsidRPr="00080873">
        <w:rPr>
          <w:rFonts w:ascii="Times New Roman" w:eastAsia="BatangChe" w:hAnsi="Times New Roman" w:cs="Times New Roman"/>
          <w:lang w:val="ro-RO" w:bidi="he-IL"/>
        </w:rPr>
        <w:t xml:space="preserve"> staff, </w:t>
      </w:r>
      <w:proofErr w:type="spellStart"/>
      <w:r w:rsidRPr="00080873">
        <w:rPr>
          <w:rFonts w:ascii="Times New Roman" w:eastAsia="BatangChe" w:hAnsi="Times New Roman" w:cs="Times New Roman"/>
          <w:lang w:val="ro-RO" w:bidi="he-IL"/>
        </w:rPr>
        <w:t>judicial</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systems</w:t>
      </w:r>
      <w:proofErr w:type="spellEnd"/>
      <w:r w:rsidRPr="00080873">
        <w:rPr>
          <w:rFonts w:ascii="Times New Roman" w:eastAsia="BatangChe" w:hAnsi="Times New Roman" w:cs="Times New Roman"/>
          <w:lang w:val="ro-RO" w:bidi="he-IL"/>
        </w:rPr>
        <w:t xml:space="preserve"> are </w:t>
      </w:r>
      <w:proofErr w:type="spellStart"/>
      <w:r w:rsidRPr="00080873">
        <w:rPr>
          <w:rFonts w:ascii="Times New Roman" w:eastAsia="BatangChe" w:hAnsi="Times New Roman" w:cs="Times New Roman"/>
          <w:lang w:val="ro-RO" w:bidi="he-IL"/>
        </w:rPr>
        <w:t>facing</w:t>
      </w:r>
      <w:proofErr w:type="spellEnd"/>
      <w:r w:rsidRPr="00080873">
        <w:rPr>
          <w:rFonts w:ascii="Times New Roman" w:eastAsia="BatangChe" w:hAnsi="Times New Roman" w:cs="Times New Roman"/>
          <w:lang w:val="ro-RO" w:bidi="he-IL"/>
        </w:rPr>
        <w:t xml:space="preserve"> a complex </w:t>
      </w:r>
      <w:proofErr w:type="spellStart"/>
      <w:r w:rsidRPr="00080873">
        <w:rPr>
          <w:rFonts w:ascii="Times New Roman" w:eastAsia="BatangChe" w:hAnsi="Times New Roman" w:cs="Times New Roman"/>
          <w:lang w:val="ro-RO" w:bidi="he-IL"/>
        </w:rPr>
        <w:t>process</w:t>
      </w:r>
      <w:proofErr w:type="spellEnd"/>
      <w:r w:rsidRPr="00080873">
        <w:rPr>
          <w:rFonts w:ascii="Times New Roman" w:eastAsia="BatangChe" w:hAnsi="Times New Roman" w:cs="Times New Roman"/>
          <w:lang w:val="ro-RO" w:bidi="he-IL"/>
        </w:rPr>
        <w:t xml:space="preserve"> of </w:t>
      </w:r>
      <w:proofErr w:type="spellStart"/>
      <w:r w:rsidRPr="00080873">
        <w:rPr>
          <w:rFonts w:ascii="Times New Roman" w:eastAsia="BatangChe" w:hAnsi="Times New Roman" w:cs="Times New Roman"/>
          <w:lang w:val="ro-RO" w:bidi="he-IL"/>
        </w:rPr>
        <w:t>reform</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and</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adaptation</w:t>
      </w:r>
      <w:proofErr w:type="spellEnd"/>
      <w:r w:rsidRPr="00080873">
        <w:rPr>
          <w:rFonts w:ascii="Times New Roman" w:eastAsia="BatangChe" w:hAnsi="Times New Roman" w:cs="Times New Roman"/>
          <w:lang w:val="ro-RO" w:bidi="he-IL"/>
        </w:rPr>
        <w:t>.</w:t>
      </w:r>
    </w:p>
    <w:p w14:paraId="095A3D85" w14:textId="77777777" w:rsidR="00080873" w:rsidRPr="00080873" w:rsidRDefault="00080873" w:rsidP="00080873">
      <w:pPr>
        <w:pStyle w:val="Frspaiere"/>
        <w:jc w:val="both"/>
        <w:rPr>
          <w:rFonts w:ascii="Times New Roman" w:eastAsia="BatangChe" w:hAnsi="Times New Roman" w:cs="Times New Roman"/>
          <w:lang w:val="ro-RO" w:bidi="he-IL"/>
        </w:rPr>
      </w:pPr>
      <w:proofErr w:type="spellStart"/>
      <w:r w:rsidRPr="00080873">
        <w:rPr>
          <w:rFonts w:ascii="Times New Roman" w:eastAsia="BatangChe" w:hAnsi="Times New Roman" w:cs="Times New Roman"/>
          <w:lang w:val="ro-RO" w:bidi="he-IL"/>
        </w:rPr>
        <w:t>This</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paper</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aims</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to</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provide</w:t>
      </w:r>
      <w:proofErr w:type="spellEnd"/>
      <w:r w:rsidRPr="00080873">
        <w:rPr>
          <w:rFonts w:ascii="Times New Roman" w:eastAsia="BatangChe" w:hAnsi="Times New Roman" w:cs="Times New Roman"/>
          <w:lang w:val="ro-RO" w:bidi="he-IL"/>
        </w:rPr>
        <w:t xml:space="preserve"> a </w:t>
      </w:r>
      <w:proofErr w:type="spellStart"/>
      <w:r w:rsidRPr="00080873">
        <w:rPr>
          <w:rFonts w:ascii="Times New Roman" w:eastAsia="BatangChe" w:hAnsi="Times New Roman" w:cs="Times New Roman"/>
          <w:lang w:val="ro-RO" w:bidi="he-IL"/>
        </w:rPr>
        <w:t>detailed</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analysis</w:t>
      </w:r>
      <w:proofErr w:type="spellEnd"/>
      <w:r w:rsidRPr="00080873">
        <w:rPr>
          <w:rFonts w:ascii="Times New Roman" w:eastAsia="BatangChe" w:hAnsi="Times New Roman" w:cs="Times New Roman"/>
          <w:lang w:val="ro-RO" w:bidi="he-IL"/>
        </w:rPr>
        <w:t xml:space="preserve"> of </w:t>
      </w:r>
      <w:proofErr w:type="spellStart"/>
      <w:r w:rsidRPr="00080873">
        <w:rPr>
          <w:rFonts w:ascii="Times New Roman" w:eastAsia="BatangChe" w:hAnsi="Times New Roman" w:cs="Times New Roman"/>
          <w:lang w:val="ro-RO" w:bidi="he-IL"/>
        </w:rPr>
        <w:t>the</w:t>
      </w:r>
      <w:proofErr w:type="spellEnd"/>
      <w:r w:rsidRPr="00080873">
        <w:rPr>
          <w:rFonts w:ascii="Times New Roman" w:eastAsia="BatangChe" w:hAnsi="Times New Roman" w:cs="Times New Roman"/>
          <w:lang w:val="ro-RO" w:bidi="he-IL"/>
        </w:rPr>
        <w:t xml:space="preserve"> legal </w:t>
      </w:r>
      <w:proofErr w:type="spellStart"/>
      <w:r w:rsidRPr="00080873">
        <w:rPr>
          <w:rFonts w:ascii="Times New Roman" w:eastAsia="BatangChe" w:hAnsi="Times New Roman" w:cs="Times New Roman"/>
          <w:lang w:val="ro-RO" w:bidi="he-IL"/>
        </w:rPr>
        <w:t>framework</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governing</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the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implementation</w:t>
      </w:r>
      <w:proofErr w:type="spellEnd"/>
      <w:r w:rsidRPr="00080873">
        <w:rPr>
          <w:rFonts w:ascii="Times New Roman" w:eastAsia="BatangChe" w:hAnsi="Times New Roman" w:cs="Times New Roman"/>
          <w:lang w:val="ro-RO" w:bidi="he-IL"/>
        </w:rPr>
        <w:t xml:space="preserve"> of European </w:t>
      </w:r>
      <w:proofErr w:type="spellStart"/>
      <w:r w:rsidRPr="00080873">
        <w:rPr>
          <w:rFonts w:ascii="Times New Roman" w:eastAsia="BatangChe" w:hAnsi="Times New Roman" w:cs="Times New Roman"/>
          <w:lang w:val="ro-RO" w:bidi="he-IL"/>
        </w:rPr>
        <w:t>directives</w:t>
      </w:r>
      <w:proofErr w:type="spellEnd"/>
      <w:r w:rsidRPr="00080873">
        <w:rPr>
          <w:rFonts w:ascii="Times New Roman" w:eastAsia="BatangChe" w:hAnsi="Times New Roman" w:cs="Times New Roman"/>
          <w:lang w:val="ro-RO" w:bidi="he-IL"/>
        </w:rPr>
        <w:t xml:space="preserve"> in criminal </w:t>
      </w:r>
      <w:proofErr w:type="spellStart"/>
      <w:r w:rsidRPr="00080873">
        <w:rPr>
          <w:rFonts w:ascii="Times New Roman" w:eastAsia="BatangChe" w:hAnsi="Times New Roman" w:cs="Times New Roman"/>
          <w:lang w:val="ro-RO" w:bidi="he-IL"/>
        </w:rPr>
        <w:t>procedure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to</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highlight</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the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challenges</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encountered</w:t>
      </w:r>
      <w:proofErr w:type="spellEnd"/>
      <w:r w:rsidRPr="00080873">
        <w:rPr>
          <w:rFonts w:ascii="Times New Roman" w:eastAsia="BatangChe" w:hAnsi="Times New Roman" w:cs="Times New Roman"/>
          <w:lang w:val="ro-RO" w:bidi="he-IL"/>
        </w:rPr>
        <w:t xml:space="preserve"> in </w:t>
      </w:r>
      <w:proofErr w:type="spellStart"/>
      <w:r w:rsidRPr="00080873">
        <w:rPr>
          <w:rFonts w:ascii="Times New Roman" w:eastAsia="BatangChe" w:hAnsi="Times New Roman" w:cs="Times New Roman"/>
          <w:lang w:val="ro-RO" w:bidi="he-IL"/>
        </w:rPr>
        <w:t>the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transposition</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and</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effective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application</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process</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and</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to</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explore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the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perspectives</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opened</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by</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this</w:t>
      </w:r>
      <w:proofErr w:type="spellEnd"/>
      <w:r w:rsidRPr="00080873">
        <w:rPr>
          <w:rFonts w:ascii="Times New Roman" w:eastAsia="BatangChe" w:hAnsi="Times New Roman" w:cs="Times New Roman"/>
          <w:lang w:val="ro-RO" w:bidi="he-IL"/>
        </w:rPr>
        <w:t xml:space="preserve"> legislative </w:t>
      </w:r>
      <w:proofErr w:type="spellStart"/>
      <w:r w:rsidRPr="00080873">
        <w:rPr>
          <w:rFonts w:ascii="Times New Roman" w:eastAsia="BatangChe" w:hAnsi="Times New Roman" w:cs="Times New Roman"/>
          <w:lang w:val="ro-RO" w:bidi="he-IL"/>
        </w:rPr>
        <w:t>and</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institutional</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dynamic</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both</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nationally</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and</w:t>
      </w:r>
      <w:proofErr w:type="spellEnd"/>
      <w:r w:rsidRPr="00080873">
        <w:rPr>
          <w:rFonts w:ascii="Times New Roman" w:eastAsia="BatangChe" w:hAnsi="Times New Roman" w:cs="Times New Roman"/>
          <w:lang w:val="ro-RO" w:bidi="he-IL"/>
        </w:rPr>
        <w:t xml:space="preserve"> at </w:t>
      </w:r>
      <w:proofErr w:type="spellStart"/>
      <w:r w:rsidRPr="00080873">
        <w:rPr>
          <w:rFonts w:ascii="Times New Roman" w:eastAsia="BatangChe" w:hAnsi="Times New Roman" w:cs="Times New Roman"/>
          <w:lang w:val="ro-RO" w:bidi="he-IL"/>
        </w:rPr>
        <w:t>the</w:t>
      </w:r>
      <w:proofErr w:type="spellEnd"/>
      <w:r w:rsidRPr="00080873">
        <w:rPr>
          <w:rFonts w:ascii="Times New Roman" w:eastAsia="BatangChe" w:hAnsi="Times New Roman" w:cs="Times New Roman"/>
          <w:lang w:val="ro-RO" w:bidi="he-IL"/>
        </w:rPr>
        <w:t xml:space="preserve"> European </w:t>
      </w:r>
      <w:proofErr w:type="spellStart"/>
      <w:r w:rsidRPr="00080873">
        <w:rPr>
          <w:rFonts w:ascii="Times New Roman" w:eastAsia="BatangChe" w:hAnsi="Times New Roman" w:cs="Times New Roman"/>
          <w:lang w:val="ro-RO" w:bidi="he-IL"/>
        </w:rPr>
        <w:t>level</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Through</w:t>
      </w:r>
      <w:proofErr w:type="spellEnd"/>
      <w:r w:rsidRPr="00080873">
        <w:rPr>
          <w:rFonts w:ascii="Times New Roman" w:eastAsia="BatangChe" w:hAnsi="Times New Roman" w:cs="Times New Roman"/>
          <w:lang w:val="ro-RO" w:bidi="he-IL"/>
        </w:rPr>
        <w:t xml:space="preserve"> a </w:t>
      </w:r>
      <w:proofErr w:type="spellStart"/>
      <w:r w:rsidRPr="00080873">
        <w:rPr>
          <w:rFonts w:ascii="Times New Roman" w:eastAsia="BatangChe" w:hAnsi="Times New Roman" w:cs="Times New Roman"/>
          <w:lang w:val="ro-RO" w:bidi="he-IL"/>
        </w:rPr>
        <w:t>critical</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and</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analytical</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approach</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the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study</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seeks</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to</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identify</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the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most</w:t>
      </w:r>
      <w:proofErr w:type="spellEnd"/>
      <w:r w:rsidRPr="00080873">
        <w:rPr>
          <w:rFonts w:ascii="Times New Roman" w:eastAsia="BatangChe" w:hAnsi="Times New Roman" w:cs="Times New Roman"/>
          <w:lang w:val="ro-RO" w:bidi="he-IL"/>
        </w:rPr>
        <w:t xml:space="preserve"> relevant </w:t>
      </w:r>
      <w:proofErr w:type="spellStart"/>
      <w:r w:rsidRPr="00080873">
        <w:rPr>
          <w:rFonts w:ascii="Times New Roman" w:eastAsia="BatangChe" w:hAnsi="Times New Roman" w:cs="Times New Roman"/>
          <w:lang w:val="ro-RO" w:bidi="he-IL"/>
        </w:rPr>
        <w:t>difficulties</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encountered</w:t>
      </w:r>
      <w:proofErr w:type="spellEnd"/>
      <w:r w:rsidRPr="00080873">
        <w:rPr>
          <w:rFonts w:ascii="Times New Roman" w:eastAsia="BatangChe" w:hAnsi="Times New Roman" w:cs="Times New Roman"/>
          <w:lang w:val="ro-RO" w:bidi="he-IL"/>
        </w:rPr>
        <w:t xml:space="preserve"> in practice </w:t>
      </w:r>
      <w:proofErr w:type="spellStart"/>
      <w:r w:rsidRPr="00080873">
        <w:rPr>
          <w:rFonts w:ascii="Times New Roman" w:eastAsia="BatangChe" w:hAnsi="Times New Roman" w:cs="Times New Roman"/>
          <w:lang w:val="ro-RO" w:bidi="he-IL"/>
        </w:rPr>
        <w:t>and</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to</w:t>
      </w:r>
      <w:proofErr w:type="spellEnd"/>
      <w:r w:rsidRPr="00080873">
        <w:rPr>
          <w:rFonts w:ascii="Times New Roman" w:eastAsia="BatangChe" w:hAnsi="Times New Roman" w:cs="Times New Roman"/>
          <w:lang w:val="ro-RO" w:bidi="he-IL"/>
        </w:rPr>
        <w:t xml:space="preserve"> formulate </w:t>
      </w:r>
      <w:proofErr w:type="spellStart"/>
      <w:r w:rsidRPr="00080873">
        <w:rPr>
          <w:rFonts w:ascii="Times New Roman" w:eastAsia="BatangChe" w:hAnsi="Times New Roman" w:cs="Times New Roman"/>
          <w:lang w:val="ro-RO" w:bidi="he-IL"/>
        </w:rPr>
        <w:t>possible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solutions</w:t>
      </w:r>
      <w:proofErr w:type="spellEnd"/>
      <w:r w:rsidRPr="00080873">
        <w:rPr>
          <w:rFonts w:ascii="Times New Roman" w:eastAsia="BatangChe" w:hAnsi="Times New Roman" w:cs="Times New Roman"/>
          <w:lang w:val="ro-RO" w:bidi="he-IL"/>
        </w:rPr>
        <w:t xml:space="preserve"> or </w:t>
      </w:r>
      <w:proofErr w:type="spellStart"/>
      <w:r w:rsidRPr="00080873">
        <w:rPr>
          <w:rFonts w:ascii="Times New Roman" w:eastAsia="BatangChe" w:hAnsi="Times New Roman" w:cs="Times New Roman"/>
          <w:lang w:val="ro-RO" w:bidi="he-IL"/>
        </w:rPr>
        <w:t>directions</w:t>
      </w:r>
      <w:proofErr w:type="spellEnd"/>
      <w:r w:rsidRPr="00080873">
        <w:rPr>
          <w:rFonts w:ascii="Times New Roman" w:eastAsia="BatangChe" w:hAnsi="Times New Roman" w:cs="Times New Roman"/>
          <w:lang w:val="ro-RO" w:bidi="he-IL"/>
        </w:rPr>
        <w:t xml:space="preserve"> for </w:t>
      </w:r>
      <w:proofErr w:type="spellStart"/>
      <w:r w:rsidRPr="00080873">
        <w:rPr>
          <w:rFonts w:ascii="Times New Roman" w:eastAsia="BatangChe" w:hAnsi="Times New Roman" w:cs="Times New Roman"/>
          <w:lang w:val="ro-RO" w:bidi="he-IL"/>
        </w:rPr>
        <w:t>future</w:t>
      </w:r>
      <w:proofErr w:type="spellEnd"/>
      <w:r w:rsidRPr="00080873">
        <w:rPr>
          <w:rFonts w:ascii="Times New Roman" w:eastAsia="BatangChe" w:hAnsi="Times New Roman" w:cs="Times New Roman"/>
          <w:lang w:val="ro-RO" w:bidi="he-IL"/>
        </w:rPr>
        <w:t xml:space="preserve"> </w:t>
      </w:r>
      <w:proofErr w:type="spellStart"/>
      <w:r w:rsidRPr="00080873">
        <w:rPr>
          <w:rFonts w:ascii="Times New Roman" w:eastAsia="BatangChe" w:hAnsi="Times New Roman" w:cs="Times New Roman"/>
          <w:lang w:val="ro-RO" w:bidi="he-IL"/>
        </w:rPr>
        <w:t>development</w:t>
      </w:r>
      <w:proofErr w:type="spellEnd"/>
      <w:r w:rsidRPr="00080873">
        <w:rPr>
          <w:rFonts w:ascii="Times New Roman" w:eastAsia="BatangChe" w:hAnsi="Times New Roman" w:cs="Times New Roman"/>
          <w:lang w:val="ro-RO" w:bidi="he-IL"/>
        </w:rPr>
        <w:t>.</w:t>
      </w:r>
    </w:p>
    <w:p w14:paraId="772765AC" w14:textId="77777777" w:rsidR="009174E6" w:rsidRPr="001648E5" w:rsidRDefault="009174E6" w:rsidP="001648E5">
      <w:pPr>
        <w:pStyle w:val="Frspaiere"/>
        <w:jc w:val="both"/>
        <w:rPr>
          <w:rFonts w:ascii="Times New Roman" w:eastAsia="BatangChe" w:hAnsi="Times New Roman" w:cs="Times New Roman"/>
          <w:bCs/>
          <w:lang w:bidi="he-IL"/>
        </w:rPr>
      </w:pPr>
    </w:p>
    <w:p w14:paraId="00260144" w14:textId="3338C63E" w:rsidR="005D4F30" w:rsidRDefault="001648E5" w:rsidP="005D4F30">
      <w:pPr>
        <w:pStyle w:val="Frspaiere"/>
        <w:jc w:val="both"/>
        <w:rPr>
          <w:rFonts w:ascii="Times New Roman" w:eastAsia="BatangChe" w:hAnsi="Times New Roman" w:cs="Times New Roman"/>
          <w:b/>
          <w:lang w:bidi="he-IL"/>
        </w:rPr>
      </w:pPr>
      <w:r w:rsidRPr="001648E5">
        <w:rPr>
          <w:rFonts w:ascii="Times New Roman" w:eastAsia="BatangChe" w:hAnsi="Times New Roman" w:cs="Times New Roman"/>
          <w:b/>
          <w:lang w:bidi="he-IL"/>
        </w:rPr>
        <w:t>2</w:t>
      </w:r>
      <w:r w:rsidR="005D4F30">
        <w:rPr>
          <w:rFonts w:ascii="Times New Roman" w:eastAsia="BatangChe" w:hAnsi="Times New Roman" w:cs="Times New Roman"/>
          <w:b/>
          <w:lang w:bidi="he-IL"/>
        </w:rPr>
        <w:tab/>
      </w:r>
      <w:r w:rsidR="005D4F30" w:rsidRPr="005D4F30">
        <w:rPr>
          <w:rFonts w:ascii="Times New Roman" w:eastAsia="BatangChe" w:hAnsi="Times New Roman" w:cs="Times New Roman"/>
          <w:b/>
          <w:lang w:bidi="he-IL"/>
        </w:rPr>
        <w:t>The European regulatory framework on procedural rights</w:t>
      </w:r>
      <w:r w:rsidR="00E26D84">
        <w:rPr>
          <w:rFonts w:ascii="Times New Roman" w:eastAsia="BatangChe" w:hAnsi="Times New Roman" w:cs="Times New Roman"/>
          <w:b/>
          <w:lang w:bidi="he-IL"/>
        </w:rPr>
        <w:tab/>
      </w:r>
    </w:p>
    <w:p w14:paraId="17536A8E" w14:textId="77777777" w:rsidR="005D4F30" w:rsidRDefault="005D4F30" w:rsidP="005D4F30">
      <w:pPr>
        <w:pStyle w:val="Frspaiere"/>
        <w:jc w:val="both"/>
        <w:rPr>
          <w:rFonts w:ascii="Times New Roman" w:eastAsia="BatangChe" w:hAnsi="Times New Roman" w:cs="Times New Roman"/>
          <w:b/>
          <w:lang w:bidi="he-IL"/>
        </w:rPr>
      </w:pPr>
    </w:p>
    <w:p w14:paraId="3C322716" w14:textId="241A12E4" w:rsidR="005D4F30" w:rsidRPr="005D4F30" w:rsidRDefault="005D4F30" w:rsidP="005D4F30">
      <w:pPr>
        <w:pStyle w:val="Frspaiere"/>
        <w:jc w:val="both"/>
        <w:rPr>
          <w:rFonts w:ascii="Times New Roman" w:eastAsia="BatangChe" w:hAnsi="Times New Roman" w:cs="Times New Roman"/>
          <w:bCs/>
          <w:lang w:bidi="he-IL"/>
        </w:rPr>
      </w:pPr>
      <w:r w:rsidRPr="005D4F30">
        <w:rPr>
          <w:rFonts w:ascii="Times New Roman" w:eastAsia="BatangChe" w:hAnsi="Times New Roman" w:cs="Times New Roman"/>
          <w:bCs/>
          <w:lang w:bidi="he-IL"/>
        </w:rPr>
        <w:t>Over the last decade, the European Union has shown an increasing interest in guaranteeing minimum standards of procedural rights in criminal proceedings, in order to ensure a uniform level of protection of citizens’ fundamental rights. This legislative approach is essential for the effective functioning of the principle of mutual recognition of criminal judgments between Member States and for strengthening mutual trust between their judicial authorities.</w:t>
      </w:r>
    </w:p>
    <w:p w14:paraId="6B124703" w14:textId="77777777" w:rsidR="005D4F30" w:rsidRPr="00367B71" w:rsidRDefault="005D4F30" w:rsidP="00367B71">
      <w:pPr>
        <w:pStyle w:val="Frspaiere"/>
        <w:ind w:firstLine="567"/>
        <w:jc w:val="both"/>
        <w:rPr>
          <w:rFonts w:ascii="Times New Roman" w:eastAsia="BatangChe" w:hAnsi="Times New Roman" w:cs="Times New Roman"/>
          <w:b/>
          <w:lang w:bidi="he-IL"/>
        </w:rPr>
      </w:pPr>
      <w:r w:rsidRPr="00367B71">
        <w:rPr>
          <w:rFonts w:ascii="Times New Roman" w:eastAsia="BatangChe" w:hAnsi="Times New Roman" w:cs="Times New Roman"/>
          <w:b/>
          <w:lang w:bidi="he-IL"/>
        </w:rPr>
        <w:t>a. Legal basis</w:t>
      </w:r>
    </w:p>
    <w:p w14:paraId="373B3DFE" w14:textId="77777777" w:rsidR="005D4F30" w:rsidRPr="005D4F30" w:rsidRDefault="005D4F30" w:rsidP="005D4F30">
      <w:pPr>
        <w:pStyle w:val="Frspaiere"/>
        <w:jc w:val="both"/>
        <w:rPr>
          <w:rFonts w:ascii="Times New Roman" w:eastAsia="BatangChe" w:hAnsi="Times New Roman" w:cs="Times New Roman"/>
          <w:bCs/>
          <w:lang w:bidi="he-IL"/>
        </w:rPr>
      </w:pPr>
      <w:r w:rsidRPr="005D4F30">
        <w:rPr>
          <w:rFonts w:ascii="Times New Roman" w:eastAsia="BatangChe" w:hAnsi="Times New Roman" w:cs="Times New Roman"/>
          <w:bCs/>
          <w:lang w:bidi="he-IL"/>
        </w:rPr>
        <w:t xml:space="preserve">The legal basis for the adoption of directives in the field of criminal procedural law is Article 82(2) of the Treaty on the Functioning of the European Union (TFEU). It allows for the establishment of </w:t>
      </w:r>
      <w:r w:rsidRPr="005D4F30">
        <w:rPr>
          <w:rFonts w:ascii="Times New Roman" w:eastAsia="BatangChe" w:hAnsi="Times New Roman" w:cs="Times New Roman"/>
          <w:bCs/>
          <w:lang w:bidi="he-IL"/>
        </w:rPr>
        <w:lastRenderedPageBreak/>
        <w:t>minimum standards of rights of individuals in criminal proceedings, “in so far as is necessary to facilitate the mutual recognition of judgments and judicial decisions” (Art. 82(2) TFEU, available online: https://eur-lex.europa.eu/legal-content/RO/TXT/?uri=celex%3A12012E%2FTXT)</w:t>
      </w:r>
    </w:p>
    <w:p w14:paraId="1FC8444F" w14:textId="77777777" w:rsidR="00367B71" w:rsidRDefault="00367B71" w:rsidP="005D4F30">
      <w:pPr>
        <w:pStyle w:val="Frspaiere"/>
        <w:jc w:val="both"/>
        <w:rPr>
          <w:rFonts w:ascii="Times New Roman" w:eastAsia="BatangChe" w:hAnsi="Times New Roman" w:cs="Times New Roman"/>
          <w:bCs/>
          <w:lang w:bidi="he-IL"/>
        </w:rPr>
      </w:pPr>
    </w:p>
    <w:p w14:paraId="76C61582" w14:textId="0EBDBB54" w:rsidR="005D4F30" w:rsidRPr="00367B71" w:rsidRDefault="005D4F30" w:rsidP="00367B71">
      <w:pPr>
        <w:pStyle w:val="Frspaiere"/>
        <w:ind w:firstLine="567"/>
        <w:jc w:val="both"/>
        <w:rPr>
          <w:rFonts w:ascii="Times New Roman" w:eastAsia="BatangChe" w:hAnsi="Times New Roman" w:cs="Times New Roman"/>
          <w:b/>
          <w:lang w:bidi="he-IL"/>
        </w:rPr>
      </w:pPr>
      <w:r w:rsidRPr="00367B71">
        <w:rPr>
          <w:rFonts w:ascii="Times New Roman" w:eastAsia="BatangChe" w:hAnsi="Times New Roman" w:cs="Times New Roman"/>
          <w:b/>
          <w:lang w:bidi="he-IL"/>
        </w:rPr>
        <w:t>b. Roadmap for strengthening procedural rights</w:t>
      </w:r>
    </w:p>
    <w:p w14:paraId="28340D12" w14:textId="77777777" w:rsidR="005D4F30" w:rsidRPr="005D4F30" w:rsidRDefault="005D4F30" w:rsidP="005D4F30">
      <w:pPr>
        <w:pStyle w:val="Frspaiere"/>
        <w:jc w:val="both"/>
        <w:rPr>
          <w:rFonts w:ascii="Times New Roman" w:eastAsia="BatangChe" w:hAnsi="Times New Roman" w:cs="Times New Roman"/>
          <w:bCs/>
          <w:lang w:bidi="he-IL"/>
        </w:rPr>
      </w:pPr>
      <w:r w:rsidRPr="005D4F30">
        <w:rPr>
          <w:rFonts w:ascii="Times New Roman" w:eastAsia="BatangChe" w:hAnsi="Times New Roman" w:cs="Times New Roman"/>
          <w:bCs/>
          <w:lang w:bidi="he-IL"/>
        </w:rPr>
        <w:t xml:space="preserve">A key moment in normative development was the adoption in 2009 of the </w:t>
      </w:r>
      <w:proofErr w:type="gramStart"/>
      <w:r w:rsidRPr="005D4F30">
        <w:rPr>
          <w:rFonts w:ascii="Times New Roman" w:eastAsia="BatangChe" w:hAnsi="Times New Roman" w:cs="Times New Roman"/>
          <w:bCs/>
          <w:lang w:bidi="he-IL"/>
        </w:rPr>
        <w:t>Roadmap</w:t>
      </w:r>
      <w:proofErr w:type="gramEnd"/>
      <w:r w:rsidRPr="005D4F30">
        <w:rPr>
          <w:rFonts w:ascii="Times New Roman" w:eastAsia="BatangChe" w:hAnsi="Times New Roman" w:cs="Times New Roman"/>
          <w:bCs/>
          <w:lang w:bidi="he-IL"/>
        </w:rPr>
        <w:t xml:space="preserve"> on strengthening procedural rights of suspects and accused persons in criminal proceedings (Council of the EU, Document 16797/09 – Roadmap on procedural rights in criminal proceedings, 2009). This roadmap identified a series of fundamental rights that were to be regulated at the European Union level through separate legislative instruments. Thus, the European Commission and the Council prioritized six essential procedural rights:</w:t>
      </w:r>
    </w:p>
    <w:p w14:paraId="6FE6344B" w14:textId="77777777" w:rsidR="005D4F30" w:rsidRPr="005D4F30" w:rsidRDefault="005D4F30" w:rsidP="00367B71">
      <w:pPr>
        <w:pStyle w:val="Frspaiere"/>
        <w:ind w:firstLine="567"/>
        <w:jc w:val="both"/>
        <w:rPr>
          <w:rFonts w:ascii="Times New Roman" w:eastAsia="BatangChe" w:hAnsi="Times New Roman" w:cs="Times New Roman"/>
          <w:bCs/>
          <w:lang w:bidi="he-IL"/>
        </w:rPr>
      </w:pPr>
      <w:r w:rsidRPr="005D4F30">
        <w:rPr>
          <w:rFonts w:ascii="Times New Roman" w:eastAsia="BatangChe" w:hAnsi="Times New Roman" w:cs="Times New Roman"/>
          <w:bCs/>
          <w:lang w:bidi="he-IL"/>
        </w:rPr>
        <w:t>• the right to translation and interpretation;</w:t>
      </w:r>
    </w:p>
    <w:p w14:paraId="6D710965" w14:textId="77777777" w:rsidR="005D4F30" w:rsidRPr="005D4F30" w:rsidRDefault="005D4F30" w:rsidP="00367B71">
      <w:pPr>
        <w:pStyle w:val="Frspaiere"/>
        <w:ind w:firstLine="567"/>
        <w:jc w:val="both"/>
        <w:rPr>
          <w:rFonts w:ascii="Times New Roman" w:eastAsia="BatangChe" w:hAnsi="Times New Roman" w:cs="Times New Roman"/>
          <w:bCs/>
          <w:lang w:bidi="he-IL"/>
        </w:rPr>
      </w:pPr>
      <w:r w:rsidRPr="005D4F30">
        <w:rPr>
          <w:rFonts w:ascii="Times New Roman" w:eastAsia="BatangChe" w:hAnsi="Times New Roman" w:cs="Times New Roman"/>
          <w:bCs/>
          <w:lang w:bidi="he-IL"/>
        </w:rPr>
        <w:t>• the right to information;</w:t>
      </w:r>
    </w:p>
    <w:p w14:paraId="2482541D" w14:textId="77777777" w:rsidR="005D4F30" w:rsidRPr="005D4F30" w:rsidRDefault="005D4F30" w:rsidP="00367B71">
      <w:pPr>
        <w:pStyle w:val="Frspaiere"/>
        <w:ind w:firstLine="567"/>
        <w:jc w:val="both"/>
        <w:rPr>
          <w:rFonts w:ascii="Times New Roman" w:eastAsia="BatangChe" w:hAnsi="Times New Roman" w:cs="Times New Roman"/>
          <w:bCs/>
          <w:lang w:bidi="he-IL"/>
        </w:rPr>
      </w:pPr>
      <w:r w:rsidRPr="005D4F30">
        <w:rPr>
          <w:rFonts w:ascii="Times New Roman" w:eastAsia="BatangChe" w:hAnsi="Times New Roman" w:cs="Times New Roman"/>
          <w:bCs/>
          <w:lang w:bidi="he-IL"/>
        </w:rPr>
        <w:t>• the right to legal assistance;</w:t>
      </w:r>
    </w:p>
    <w:p w14:paraId="36E1B015" w14:textId="77777777" w:rsidR="005D4F30" w:rsidRPr="005D4F30" w:rsidRDefault="005D4F30" w:rsidP="00367B71">
      <w:pPr>
        <w:pStyle w:val="Frspaiere"/>
        <w:ind w:firstLine="567"/>
        <w:jc w:val="both"/>
        <w:rPr>
          <w:rFonts w:ascii="Times New Roman" w:eastAsia="BatangChe" w:hAnsi="Times New Roman" w:cs="Times New Roman"/>
          <w:bCs/>
          <w:lang w:bidi="he-IL"/>
        </w:rPr>
      </w:pPr>
      <w:r w:rsidRPr="005D4F30">
        <w:rPr>
          <w:rFonts w:ascii="Times New Roman" w:eastAsia="BatangChe" w:hAnsi="Times New Roman" w:cs="Times New Roman"/>
          <w:bCs/>
          <w:lang w:bidi="he-IL"/>
        </w:rPr>
        <w:t>• the right to communicate with relatives and employer;</w:t>
      </w:r>
    </w:p>
    <w:p w14:paraId="0B2CDD6A" w14:textId="77777777" w:rsidR="005D4F30" w:rsidRPr="005D4F30" w:rsidRDefault="005D4F30" w:rsidP="00367B71">
      <w:pPr>
        <w:pStyle w:val="Frspaiere"/>
        <w:ind w:firstLine="567"/>
        <w:jc w:val="both"/>
        <w:rPr>
          <w:rFonts w:ascii="Times New Roman" w:eastAsia="BatangChe" w:hAnsi="Times New Roman" w:cs="Times New Roman"/>
          <w:bCs/>
          <w:lang w:bidi="he-IL"/>
        </w:rPr>
      </w:pPr>
      <w:r w:rsidRPr="005D4F30">
        <w:rPr>
          <w:rFonts w:ascii="Times New Roman" w:eastAsia="BatangChe" w:hAnsi="Times New Roman" w:cs="Times New Roman"/>
          <w:bCs/>
          <w:lang w:bidi="he-IL"/>
        </w:rPr>
        <w:t>• the protection of vulnerable persons;</w:t>
      </w:r>
    </w:p>
    <w:p w14:paraId="5336DF6F" w14:textId="77777777" w:rsidR="005D4F30" w:rsidRPr="005D4F30" w:rsidRDefault="005D4F30" w:rsidP="00367B71">
      <w:pPr>
        <w:pStyle w:val="Frspaiere"/>
        <w:ind w:firstLine="567"/>
        <w:jc w:val="both"/>
        <w:rPr>
          <w:rFonts w:ascii="Times New Roman" w:eastAsia="BatangChe" w:hAnsi="Times New Roman" w:cs="Times New Roman"/>
          <w:bCs/>
          <w:lang w:bidi="he-IL"/>
        </w:rPr>
      </w:pPr>
      <w:r w:rsidRPr="005D4F30">
        <w:rPr>
          <w:rFonts w:ascii="Times New Roman" w:eastAsia="BatangChe" w:hAnsi="Times New Roman" w:cs="Times New Roman"/>
          <w:bCs/>
          <w:lang w:bidi="he-IL"/>
        </w:rPr>
        <w:t>• and the right to remain silent and not to incriminate oneself.</w:t>
      </w:r>
    </w:p>
    <w:p w14:paraId="6CDA0DC7" w14:textId="77777777" w:rsidR="00367B71" w:rsidRDefault="00367B71" w:rsidP="005D4F30">
      <w:pPr>
        <w:pStyle w:val="Frspaiere"/>
        <w:jc w:val="both"/>
        <w:rPr>
          <w:rFonts w:ascii="Times New Roman" w:eastAsia="BatangChe" w:hAnsi="Times New Roman" w:cs="Times New Roman"/>
          <w:bCs/>
          <w:lang w:bidi="he-IL"/>
        </w:rPr>
      </w:pPr>
    </w:p>
    <w:p w14:paraId="7B267A71" w14:textId="4E31F03C" w:rsidR="005D4F30" w:rsidRPr="00367B71" w:rsidRDefault="005D4F30" w:rsidP="00367B71">
      <w:pPr>
        <w:pStyle w:val="Frspaiere"/>
        <w:ind w:firstLine="567"/>
        <w:jc w:val="both"/>
        <w:rPr>
          <w:rFonts w:ascii="Times New Roman" w:eastAsia="BatangChe" w:hAnsi="Times New Roman" w:cs="Times New Roman"/>
          <w:b/>
          <w:lang w:bidi="he-IL"/>
        </w:rPr>
      </w:pPr>
      <w:r w:rsidRPr="00367B71">
        <w:rPr>
          <w:rFonts w:ascii="Times New Roman" w:eastAsia="BatangChe" w:hAnsi="Times New Roman" w:cs="Times New Roman"/>
          <w:b/>
          <w:lang w:bidi="he-IL"/>
        </w:rPr>
        <w:t>c. Main European directives on the subject</w:t>
      </w:r>
    </w:p>
    <w:p w14:paraId="0E342815" w14:textId="77777777" w:rsidR="005D4F30" w:rsidRPr="005D4F30" w:rsidRDefault="005D4F30" w:rsidP="005D4F30">
      <w:pPr>
        <w:pStyle w:val="Frspaiere"/>
        <w:jc w:val="both"/>
        <w:rPr>
          <w:rFonts w:ascii="Times New Roman" w:eastAsia="BatangChe" w:hAnsi="Times New Roman" w:cs="Times New Roman"/>
          <w:bCs/>
          <w:lang w:bidi="he-IL"/>
        </w:rPr>
      </w:pPr>
      <w:r w:rsidRPr="005D4F30">
        <w:rPr>
          <w:rFonts w:ascii="Times New Roman" w:eastAsia="BatangChe" w:hAnsi="Times New Roman" w:cs="Times New Roman"/>
          <w:bCs/>
          <w:lang w:bidi="he-IL"/>
        </w:rPr>
        <w:t>To date, several relevant directives have been adopted, which form the backbone of the European regulatory framework on procedural rights in criminal matters:</w:t>
      </w:r>
    </w:p>
    <w:p w14:paraId="01F257D1" w14:textId="77777777" w:rsidR="005D4F30" w:rsidRPr="005D4F30" w:rsidRDefault="005D4F30" w:rsidP="00D13BBA">
      <w:pPr>
        <w:pStyle w:val="Frspaiere"/>
        <w:ind w:firstLine="567"/>
        <w:jc w:val="both"/>
        <w:rPr>
          <w:rFonts w:ascii="Times New Roman" w:eastAsia="BatangChe" w:hAnsi="Times New Roman" w:cs="Times New Roman"/>
          <w:bCs/>
          <w:lang w:bidi="he-IL"/>
        </w:rPr>
      </w:pPr>
      <w:r w:rsidRPr="005D4F30">
        <w:rPr>
          <w:rFonts w:ascii="Times New Roman" w:eastAsia="BatangChe" w:hAnsi="Times New Roman" w:cs="Times New Roman"/>
          <w:bCs/>
          <w:lang w:bidi="he-IL"/>
        </w:rPr>
        <w:t>• Directive 2010/64/EU on the right to interpretation and translation in criminal proceedings;</w:t>
      </w:r>
    </w:p>
    <w:p w14:paraId="491FAA84" w14:textId="77777777" w:rsidR="005D4F30" w:rsidRPr="005D4F30" w:rsidRDefault="005D4F30" w:rsidP="00D13BBA">
      <w:pPr>
        <w:pStyle w:val="Frspaiere"/>
        <w:ind w:firstLine="567"/>
        <w:jc w:val="both"/>
        <w:rPr>
          <w:rFonts w:ascii="Times New Roman" w:eastAsia="BatangChe" w:hAnsi="Times New Roman" w:cs="Times New Roman"/>
          <w:bCs/>
          <w:lang w:bidi="he-IL"/>
        </w:rPr>
      </w:pPr>
      <w:r w:rsidRPr="005D4F30">
        <w:rPr>
          <w:rFonts w:ascii="Times New Roman" w:eastAsia="BatangChe" w:hAnsi="Times New Roman" w:cs="Times New Roman"/>
          <w:bCs/>
          <w:lang w:bidi="he-IL"/>
        </w:rPr>
        <w:t>• Directive 2012/13/EU on the right to information in criminal proceedings;</w:t>
      </w:r>
    </w:p>
    <w:p w14:paraId="5EDD6FA2" w14:textId="77777777" w:rsidR="005D4F30" w:rsidRPr="005D4F30" w:rsidRDefault="005D4F30" w:rsidP="00D13BBA">
      <w:pPr>
        <w:pStyle w:val="Frspaiere"/>
        <w:ind w:firstLine="567"/>
        <w:jc w:val="both"/>
        <w:rPr>
          <w:rFonts w:ascii="Times New Roman" w:eastAsia="BatangChe" w:hAnsi="Times New Roman" w:cs="Times New Roman"/>
          <w:bCs/>
          <w:lang w:bidi="he-IL"/>
        </w:rPr>
      </w:pPr>
      <w:r w:rsidRPr="005D4F30">
        <w:rPr>
          <w:rFonts w:ascii="Times New Roman" w:eastAsia="BatangChe" w:hAnsi="Times New Roman" w:cs="Times New Roman"/>
          <w:bCs/>
          <w:lang w:bidi="he-IL"/>
        </w:rPr>
        <w:t>• Directive 2013/48/EU on the right of access to a lawyer and the right to communicate upon arrest;</w:t>
      </w:r>
    </w:p>
    <w:p w14:paraId="701076FC" w14:textId="77777777" w:rsidR="005D4F30" w:rsidRPr="005D4F30" w:rsidRDefault="005D4F30" w:rsidP="00D13BBA">
      <w:pPr>
        <w:pStyle w:val="Frspaiere"/>
        <w:ind w:firstLine="567"/>
        <w:jc w:val="both"/>
        <w:rPr>
          <w:rFonts w:ascii="Times New Roman" w:eastAsia="BatangChe" w:hAnsi="Times New Roman" w:cs="Times New Roman"/>
          <w:bCs/>
          <w:lang w:bidi="he-IL"/>
        </w:rPr>
      </w:pPr>
      <w:r w:rsidRPr="005D4F30">
        <w:rPr>
          <w:rFonts w:ascii="Times New Roman" w:eastAsia="BatangChe" w:hAnsi="Times New Roman" w:cs="Times New Roman"/>
          <w:bCs/>
          <w:lang w:bidi="he-IL"/>
        </w:rPr>
        <w:t>• Directive (EU) 2016/343 on the strengthening of certain aspects of the presumption of innocence and the right to be present at trial;</w:t>
      </w:r>
    </w:p>
    <w:p w14:paraId="42B19948" w14:textId="77777777" w:rsidR="005D4F30" w:rsidRPr="005D4F30" w:rsidRDefault="005D4F30" w:rsidP="00D13BBA">
      <w:pPr>
        <w:pStyle w:val="Frspaiere"/>
        <w:ind w:firstLine="567"/>
        <w:jc w:val="both"/>
        <w:rPr>
          <w:rFonts w:ascii="Times New Roman" w:eastAsia="BatangChe" w:hAnsi="Times New Roman" w:cs="Times New Roman"/>
          <w:bCs/>
          <w:lang w:bidi="he-IL"/>
        </w:rPr>
      </w:pPr>
      <w:r w:rsidRPr="005D4F30">
        <w:rPr>
          <w:rFonts w:ascii="Times New Roman" w:eastAsia="BatangChe" w:hAnsi="Times New Roman" w:cs="Times New Roman"/>
          <w:bCs/>
          <w:lang w:bidi="he-IL"/>
        </w:rPr>
        <w:t>• Directive (EU) 2016/800 on special safeguards for minors suspected or accused in criminal proceedings;</w:t>
      </w:r>
    </w:p>
    <w:p w14:paraId="32524330" w14:textId="77777777" w:rsidR="005D4F30" w:rsidRPr="005D4F30" w:rsidRDefault="005D4F30" w:rsidP="00D13BBA">
      <w:pPr>
        <w:pStyle w:val="Frspaiere"/>
        <w:ind w:firstLine="567"/>
        <w:jc w:val="both"/>
        <w:rPr>
          <w:rFonts w:ascii="Times New Roman" w:eastAsia="BatangChe" w:hAnsi="Times New Roman" w:cs="Times New Roman"/>
          <w:bCs/>
          <w:lang w:bidi="he-IL"/>
        </w:rPr>
      </w:pPr>
      <w:r w:rsidRPr="005D4F30">
        <w:rPr>
          <w:rFonts w:ascii="Times New Roman" w:eastAsia="BatangChe" w:hAnsi="Times New Roman" w:cs="Times New Roman"/>
          <w:bCs/>
          <w:lang w:bidi="he-IL"/>
        </w:rPr>
        <w:t>• Directive (EU) 2016/1919 on free legal aid for suspects or accused persons.</w:t>
      </w:r>
    </w:p>
    <w:p w14:paraId="2A57239B" w14:textId="77777777" w:rsidR="00D13BBA" w:rsidRDefault="00D13BBA" w:rsidP="005D4F30">
      <w:pPr>
        <w:pStyle w:val="Frspaiere"/>
        <w:jc w:val="both"/>
        <w:rPr>
          <w:rFonts w:ascii="Times New Roman" w:eastAsia="BatangChe" w:hAnsi="Times New Roman" w:cs="Times New Roman"/>
          <w:bCs/>
          <w:lang w:bidi="he-IL"/>
        </w:rPr>
      </w:pPr>
    </w:p>
    <w:p w14:paraId="18E84EB9" w14:textId="7F599286" w:rsidR="005D4F30" w:rsidRPr="005D4F30" w:rsidRDefault="005D4F30" w:rsidP="00D13BBA">
      <w:pPr>
        <w:pStyle w:val="Frspaiere"/>
        <w:jc w:val="both"/>
        <w:rPr>
          <w:rFonts w:ascii="Times New Roman" w:eastAsia="BatangChe" w:hAnsi="Times New Roman" w:cs="Times New Roman"/>
          <w:bCs/>
          <w:lang w:bidi="he-IL"/>
        </w:rPr>
      </w:pPr>
      <w:r w:rsidRPr="005D4F30">
        <w:rPr>
          <w:rFonts w:ascii="Times New Roman" w:eastAsia="BatangChe" w:hAnsi="Times New Roman" w:cs="Times New Roman"/>
          <w:bCs/>
          <w:lang w:bidi="he-IL"/>
        </w:rPr>
        <w:t>These instruments aim to create a coherent system of protection of fundamental rights in criminal proceedings, based on the standards of the ECHR, but also with some of their own developments in the context of EU law.</w:t>
      </w:r>
    </w:p>
    <w:p w14:paraId="7E00752B" w14:textId="77777777" w:rsidR="00D13BBA" w:rsidRDefault="00D13BBA" w:rsidP="005D4F30">
      <w:pPr>
        <w:pStyle w:val="Frspaiere"/>
        <w:jc w:val="both"/>
        <w:rPr>
          <w:rFonts w:ascii="Times New Roman" w:eastAsia="BatangChe" w:hAnsi="Times New Roman" w:cs="Times New Roman"/>
          <w:bCs/>
          <w:lang w:bidi="he-IL"/>
        </w:rPr>
      </w:pPr>
    </w:p>
    <w:p w14:paraId="2320D139" w14:textId="6BFDADC6" w:rsidR="005D4F30" w:rsidRPr="00D13BBA" w:rsidRDefault="005D4F30" w:rsidP="00D13BBA">
      <w:pPr>
        <w:pStyle w:val="Frspaiere"/>
        <w:ind w:firstLine="567"/>
        <w:jc w:val="both"/>
        <w:rPr>
          <w:rFonts w:ascii="Times New Roman" w:eastAsia="BatangChe" w:hAnsi="Times New Roman" w:cs="Times New Roman"/>
          <w:b/>
          <w:lang w:bidi="he-IL"/>
        </w:rPr>
      </w:pPr>
      <w:r w:rsidRPr="00D13BBA">
        <w:rPr>
          <w:rFonts w:ascii="Times New Roman" w:eastAsia="BatangChe" w:hAnsi="Times New Roman" w:cs="Times New Roman"/>
          <w:b/>
          <w:lang w:bidi="he-IL"/>
        </w:rPr>
        <w:t>d. Relationship with the European Convention on Human Rights (ECHR)</w:t>
      </w:r>
    </w:p>
    <w:p w14:paraId="3D072C28" w14:textId="77777777" w:rsidR="005D4F30" w:rsidRPr="005D4F30" w:rsidRDefault="005D4F30" w:rsidP="005D4F30">
      <w:pPr>
        <w:pStyle w:val="Frspaiere"/>
        <w:jc w:val="both"/>
        <w:rPr>
          <w:rFonts w:ascii="Times New Roman" w:eastAsia="BatangChe" w:hAnsi="Times New Roman" w:cs="Times New Roman"/>
          <w:bCs/>
          <w:lang w:bidi="he-IL"/>
        </w:rPr>
      </w:pPr>
      <w:r w:rsidRPr="005D4F30">
        <w:rPr>
          <w:rFonts w:ascii="Times New Roman" w:eastAsia="BatangChe" w:hAnsi="Times New Roman" w:cs="Times New Roman"/>
          <w:bCs/>
          <w:lang w:bidi="he-IL"/>
        </w:rPr>
        <w:t>Although EU directives are based on the rights enshrined in the Charter of Fundamental Rights of the European Union, they are also directly influenced by the case law of the European Court of Human Rights (ECHR). For example, the right to remain silent and the presumption of innocence are enshrined in both Strasbourg case law and EU law, but with specific nuances.</w:t>
      </w:r>
    </w:p>
    <w:p w14:paraId="5735DA10" w14:textId="77777777" w:rsidR="005D4F30" w:rsidRPr="005D4F30" w:rsidRDefault="005D4F30" w:rsidP="005D4F30">
      <w:pPr>
        <w:pStyle w:val="Frspaiere"/>
        <w:jc w:val="both"/>
        <w:rPr>
          <w:rFonts w:ascii="Times New Roman" w:eastAsia="BatangChe" w:hAnsi="Times New Roman" w:cs="Times New Roman"/>
          <w:bCs/>
          <w:lang w:bidi="he-IL"/>
        </w:rPr>
      </w:pPr>
      <w:r w:rsidRPr="005D4F30">
        <w:rPr>
          <w:rFonts w:ascii="Times New Roman" w:eastAsia="BatangChe" w:hAnsi="Times New Roman" w:cs="Times New Roman"/>
          <w:bCs/>
          <w:lang w:bidi="he-IL"/>
        </w:rPr>
        <w:t>This overlap of legal systems requires a coherent interpretation, and the Court of Justice of the European Union (CJEU) plays an essential role in harmonizing the application of directives at Member State level.</w:t>
      </w:r>
    </w:p>
    <w:p w14:paraId="253E6BC9" w14:textId="77777777" w:rsidR="008F3516" w:rsidRDefault="008F3516" w:rsidP="005D4F30">
      <w:pPr>
        <w:pStyle w:val="Frspaiere"/>
        <w:jc w:val="both"/>
        <w:rPr>
          <w:rFonts w:ascii="Times New Roman" w:eastAsia="BatangChe" w:hAnsi="Times New Roman" w:cs="Times New Roman"/>
          <w:bCs/>
          <w:lang w:bidi="he-IL"/>
        </w:rPr>
      </w:pPr>
    </w:p>
    <w:p w14:paraId="47FB885B" w14:textId="3A067835" w:rsidR="005D4F30" w:rsidRPr="008F3516" w:rsidRDefault="005D4F30" w:rsidP="008F3516">
      <w:pPr>
        <w:pStyle w:val="Frspaiere"/>
        <w:ind w:firstLine="567"/>
        <w:jc w:val="both"/>
        <w:rPr>
          <w:rFonts w:ascii="Times New Roman" w:eastAsia="BatangChe" w:hAnsi="Times New Roman" w:cs="Times New Roman"/>
          <w:b/>
          <w:lang w:bidi="he-IL"/>
        </w:rPr>
      </w:pPr>
      <w:r w:rsidRPr="008F3516">
        <w:rPr>
          <w:rFonts w:ascii="Times New Roman" w:eastAsia="BatangChe" w:hAnsi="Times New Roman" w:cs="Times New Roman"/>
          <w:b/>
          <w:lang w:bidi="he-IL"/>
        </w:rPr>
        <w:t>e. Obligation of transposition and direct applicability</w:t>
      </w:r>
    </w:p>
    <w:p w14:paraId="1600E550" w14:textId="17AADE28" w:rsidR="00B110B5" w:rsidRPr="005D4F30" w:rsidRDefault="005D4F30" w:rsidP="005D4F30">
      <w:pPr>
        <w:pStyle w:val="Frspaiere"/>
        <w:jc w:val="both"/>
        <w:rPr>
          <w:rFonts w:ascii="Times New Roman" w:eastAsia="BatangChe" w:hAnsi="Times New Roman" w:cs="Times New Roman"/>
          <w:bCs/>
          <w:lang w:bidi="he-IL"/>
        </w:rPr>
      </w:pPr>
      <w:r w:rsidRPr="005D4F30">
        <w:rPr>
          <w:rFonts w:ascii="Times New Roman" w:eastAsia="BatangChe" w:hAnsi="Times New Roman" w:cs="Times New Roman"/>
          <w:bCs/>
          <w:lang w:bidi="he-IL"/>
        </w:rPr>
        <w:t>Member States are obliged to transpose directives into national law within a certain period. Although directives do not have full direct applicability (unlike regulations), under certain conditions, some provisions may have vertical direct effect, if they are sufficiently clear and unconditional, in relation to state authorities.</w:t>
      </w:r>
    </w:p>
    <w:p w14:paraId="26B9E4B3" w14:textId="77777777" w:rsidR="00B110B5" w:rsidRPr="00294E11" w:rsidRDefault="00B110B5" w:rsidP="00B110B5">
      <w:pPr>
        <w:pStyle w:val="Frspaiere"/>
        <w:jc w:val="both"/>
        <w:rPr>
          <w:rFonts w:ascii="Times New Roman" w:eastAsia="BatangChe" w:hAnsi="Times New Roman" w:cs="Times New Roman"/>
          <w:b/>
          <w:lang w:bidi="he-IL"/>
        </w:rPr>
      </w:pPr>
    </w:p>
    <w:p w14:paraId="59A90BA2" w14:textId="77777777" w:rsidR="000B1B7C" w:rsidRPr="000B1B7C" w:rsidRDefault="000B1B7C" w:rsidP="000B1B7C">
      <w:pPr>
        <w:pStyle w:val="Frspaiere"/>
        <w:jc w:val="both"/>
        <w:rPr>
          <w:rFonts w:ascii="Times New Roman" w:eastAsia="BatangChe" w:hAnsi="Times New Roman" w:cs="Times New Roman"/>
          <w:b/>
          <w:lang w:bidi="he-IL"/>
        </w:rPr>
      </w:pPr>
      <w:r>
        <w:rPr>
          <w:rFonts w:ascii="Times New Roman" w:eastAsia="BatangChe" w:hAnsi="Times New Roman" w:cs="Times New Roman"/>
          <w:b/>
          <w:lang w:bidi="he-IL"/>
        </w:rPr>
        <w:t>3</w:t>
      </w:r>
      <w:r w:rsidR="00294E11" w:rsidRPr="00294E11">
        <w:rPr>
          <w:rFonts w:ascii="Times New Roman" w:eastAsia="BatangChe" w:hAnsi="Times New Roman" w:cs="Times New Roman"/>
          <w:b/>
          <w:lang w:bidi="he-IL"/>
        </w:rPr>
        <w:t xml:space="preserve"> </w:t>
      </w:r>
      <w:r w:rsidR="00E26D84">
        <w:rPr>
          <w:rFonts w:ascii="Times New Roman" w:eastAsia="BatangChe" w:hAnsi="Times New Roman" w:cs="Times New Roman"/>
          <w:b/>
          <w:lang w:bidi="he-IL"/>
        </w:rPr>
        <w:tab/>
      </w:r>
      <w:r w:rsidRPr="000B1B7C">
        <w:rPr>
          <w:rFonts w:ascii="Times New Roman" w:eastAsia="BatangChe" w:hAnsi="Times New Roman" w:cs="Times New Roman"/>
          <w:b/>
          <w:lang w:bidi="he-IL"/>
        </w:rPr>
        <w:t>Transposition of the Directives into Romanian Criminal Procedure</w:t>
      </w:r>
    </w:p>
    <w:p w14:paraId="01C90E0A" w14:textId="77777777" w:rsidR="008F3516" w:rsidRDefault="008F3516" w:rsidP="000B1B7C">
      <w:pPr>
        <w:pStyle w:val="Frspaiere"/>
        <w:jc w:val="both"/>
        <w:rPr>
          <w:rFonts w:ascii="Times New Roman" w:eastAsia="BatangChe" w:hAnsi="Times New Roman" w:cs="Times New Roman"/>
          <w:bCs/>
          <w:lang w:bidi="he-IL"/>
        </w:rPr>
      </w:pPr>
    </w:p>
    <w:p w14:paraId="45303E69" w14:textId="66B9D263" w:rsidR="000B1B7C" w:rsidRPr="000B1B7C" w:rsidRDefault="000B1B7C" w:rsidP="000B1B7C">
      <w:pPr>
        <w:pStyle w:val="Frspaiere"/>
        <w:jc w:val="both"/>
        <w:rPr>
          <w:rFonts w:ascii="Times New Roman" w:eastAsia="BatangChe" w:hAnsi="Times New Roman" w:cs="Times New Roman"/>
          <w:bCs/>
          <w:lang w:bidi="he-IL"/>
        </w:rPr>
      </w:pPr>
      <w:r w:rsidRPr="000B1B7C">
        <w:rPr>
          <w:rFonts w:ascii="Times New Roman" w:eastAsia="BatangChe" w:hAnsi="Times New Roman" w:cs="Times New Roman"/>
          <w:bCs/>
          <w:lang w:bidi="he-IL"/>
        </w:rPr>
        <w:t>Romania has transposed these Directives mainly through amendments to the Code of Criminal Procedure and other complementary normative acts. A relevant example is the transposition of Directive 2012/13/EU, which introduced into national law the obligation to inform the suspect or defendant of his or her rights, from the criminal investigation stage.</w:t>
      </w:r>
    </w:p>
    <w:p w14:paraId="66D725F2" w14:textId="77777777" w:rsidR="000B1B7C" w:rsidRPr="000B1B7C" w:rsidRDefault="000B1B7C" w:rsidP="000B1B7C">
      <w:pPr>
        <w:pStyle w:val="Frspaiere"/>
        <w:jc w:val="both"/>
        <w:rPr>
          <w:rFonts w:ascii="Times New Roman" w:eastAsia="BatangChe" w:hAnsi="Times New Roman" w:cs="Times New Roman"/>
          <w:bCs/>
          <w:lang w:bidi="he-IL"/>
        </w:rPr>
      </w:pPr>
      <w:r w:rsidRPr="000B1B7C">
        <w:rPr>
          <w:rFonts w:ascii="Times New Roman" w:eastAsia="BatangChe" w:hAnsi="Times New Roman" w:cs="Times New Roman"/>
          <w:bCs/>
          <w:lang w:bidi="he-IL"/>
        </w:rPr>
        <w:lastRenderedPageBreak/>
        <w:t>As regards Directive 2010/64/EU, this led to the introduction of clear provisions on the right to translation and interpretation, including the obligation to translate essential documents – the arrest warrant, the indictment, the court decision – into a language that the person concerned understands (Art. 12-13 of Law no. 302/2004 on international judicial cooperation in criminal matters).</w:t>
      </w:r>
    </w:p>
    <w:p w14:paraId="66D7B304" w14:textId="77777777" w:rsidR="000B1B7C" w:rsidRPr="000B1B7C" w:rsidRDefault="000B1B7C" w:rsidP="000B1B7C">
      <w:pPr>
        <w:pStyle w:val="Frspaiere"/>
        <w:jc w:val="both"/>
        <w:rPr>
          <w:rFonts w:ascii="Times New Roman" w:eastAsia="BatangChe" w:hAnsi="Times New Roman" w:cs="Times New Roman"/>
          <w:bCs/>
          <w:lang w:bidi="he-IL"/>
        </w:rPr>
      </w:pPr>
      <w:r w:rsidRPr="000B1B7C">
        <w:rPr>
          <w:rFonts w:ascii="Times New Roman" w:eastAsia="BatangChe" w:hAnsi="Times New Roman" w:cs="Times New Roman"/>
          <w:bCs/>
          <w:lang w:bidi="he-IL"/>
        </w:rPr>
        <w:t xml:space="preserve">Another significant example is Directive 2013/48/EU, which was transposed by guaranteeing effective access to a lawyer and by regulating confidential communication between the lawyer and the client, even during detention or pre-trial detention (Art. 89 CPP: Right to </w:t>
      </w:r>
      <w:proofErr w:type="spellStart"/>
      <w:r w:rsidRPr="000B1B7C">
        <w:rPr>
          <w:rFonts w:ascii="Times New Roman" w:eastAsia="BatangChe" w:hAnsi="Times New Roman" w:cs="Times New Roman"/>
          <w:bCs/>
          <w:lang w:bidi="he-IL"/>
        </w:rPr>
        <w:t>defence</w:t>
      </w:r>
      <w:proofErr w:type="spellEnd"/>
      <w:r w:rsidRPr="000B1B7C">
        <w:rPr>
          <w:rFonts w:ascii="Times New Roman" w:eastAsia="BatangChe" w:hAnsi="Times New Roman" w:cs="Times New Roman"/>
          <w:bCs/>
          <w:lang w:bidi="he-IL"/>
        </w:rPr>
        <w:t xml:space="preserve"> and to consult a lawyer).</w:t>
      </w:r>
    </w:p>
    <w:p w14:paraId="7BFB9530" w14:textId="77777777" w:rsidR="000B1B7C" w:rsidRPr="000B1B7C" w:rsidRDefault="000B1B7C" w:rsidP="000B1B7C">
      <w:pPr>
        <w:pStyle w:val="Frspaiere"/>
        <w:jc w:val="both"/>
        <w:rPr>
          <w:rFonts w:ascii="Times New Roman" w:eastAsia="BatangChe" w:hAnsi="Times New Roman" w:cs="Times New Roman"/>
          <w:b/>
          <w:lang w:bidi="he-IL"/>
        </w:rPr>
      </w:pPr>
    </w:p>
    <w:p w14:paraId="7D97527D" w14:textId="04287E68" w:rsidR="000B1B7C" w:rsidRPr="000B1B7C" w:rsidRDefault="000B1B7C" w:rsidP="000B1B7C">
      <w:pPr>
        <w:pStyle w:val="Frspaiere"/>
        <w:jc w:val="both"/>
        <w:rPr>
          <w:rFonts w:ascii="Times New Roman" w:eastAsia="BatangChe" w:hAnsi="Times New Roman" w:cs="Times New Roman"/>
          <w:b/>
          <w:lang w:bidi="he-IL"/>
        </w:rPr>
      </w:pPr>
      <w:r w:rsidRPr="000B1B7C">
        <w:rPr>
          <w:rFonts w:ascii="Times New Roman" w:eastAsia="BatangChe" w:hAnsi="Times New Roman" w:cs="Times New Roman"/>
          <w:b/>
          <w:lang w:bidi="he-IL"/>
        </w:rPr>
        <w:t>4</w:t>
      </w:r>
      <w:r w:rsidR="00EF2CC8">
        <w:rPr>
          <w:rFonts w:ascii="Times New Roman" w:eastAsia="BatangChe" w:hAnsi="Times New Roman" w:cs="Times New Roman"/>
          <w:b/>
          <w:lang w:bidi="he-IL"/>
        </w:rPr>
        <w:tab/>
      </w:r>
      <w:r w:rsidRPr="000B1B7C">
        <w:rPr>
          <w:rFonts w:ascii="Times New Roman" w:eastAsia="BatangChe" w:hAnsi="Times New Roman" w:cs="Times New Roman"/>
          <w:b/>
          <w:lang w:bidi="he-IL"/>
        </w:rPr>
        <w:t>Problems and challenges in the application of the directives</w:t>
      </w:r>
    </w:p>
    <w:p w14:paraId="52037419" w14:textId="77777777" w:rsidR="008F3516" w:rsidRDefault="008F3516" w:rsidP="000B1B7C">
      <w:pPr>
        <w:pStyle w:val="Frspaiere"/>
        <w:jc w:val="both"/>
        <w:rPr>
          <w:rFonts w:ascii="Times New Roman" w:eastAsia="BatangChe" w:hAnsi="Times New Roman" w:cs="Times New Roman"/>
          <w:bCs/>
          <w:lang w:bidi="he-IL"/>
        </w:rPr>
      </w:pPr>
    </w:p>
    <w:p w14:paraId="31446F96" w14:textId="192C4298" w:rsidR="000B1B7C" w:rsidRPr="000B1B7C" w:rsidRDefault="000B1B7C" w:rsidP="000B1B7C">
      <w:pPr>
        <w:pStyle w:val="Frspaiere"/>
        <w:jc w:val="both"/>
        <w:rPr>
          <w:rFonts w:ascii="Times New Roman" w:eastAsia="BatangChe" w:hAnsi="Times New Roman" w:cs="Times New Roman"/>
          <w:bCs/>
          <w:lang w:bidi="he-IL"/>
        </w:rPr>
      </w:pPr>
      <w:r w:rsidRPr="000B1B7C">
        <w:rPr>
          <w:rFonts w:ascii="Times New Roman" w:eastAsia="BatangChe" w:hAnsi="Times New Roman" w:cs="Times New Roman"/>
          <w:bCs/>
          <w:lang w:bidi="he-IL"/>
        </w:rPr>
        <w:t>Although Romania has formally implemented the transposition, the practical application of the European directives raises numerous difficulties:</w:t>
      </w:r>
    </w:p>
    <w:p w14:paraId="29798FCE" w14:textId="77777777" w:rsidR="000B1B7C" w:rsidRPr="000B1B7C" w:rsidRDefault="000B1B7C" w:rsidP="008F3516">
      <w:pPr>
        <w:pStyle w:val="Frspaiere"/>
        <w:ind w:firstLine="567"/>
        <w:jc w:val="both"/>
        <w:rPr>
          <w:rFonts w:ascii="Times New Roman" w:eastAsia="BatangChe" w:hAnsi="Times New Roman" w:cs="Times New Roman"/>
          <w:bCs/>
          <w:lang w:bidi="he-IL"/>
        </w:rPr>
      </w:pPr>
      <w:r w:rsidRPr="000B1B7C">
        <w:rPr>
          <w:rFonts w:ascii="Times New Roman" w:eastAsia="BatangChe" w:hAnsi="Times New Roman" w:cs="Times New Roman"/>
          <w:bCs/>
          <w:lang w:bidi="he-IL"/>
        </w:rPr>
        <w:t>• Unequal access to interpretation and translation, especially in remote areas or in the case of less widely spoken languages;</w:t>
      </w:r>
    </w:p>
    <w:p w14:paraId="378EA229" w14:textId="77777777" w:rsidR="000B1B7C" w:rsidRPr="000B1B7C" w:rsidRDefault="000B1B7C" w:rsidP="008F3516">
      <w:pPr>
        <w:pStyle w:val="Frspaiere"/>
        <w:ind w:firstLine="567"/>
        <w:jc w:val="both"/>
        <w:rPr>
          <w:rFonts w:ascii="Times New Roman" w:eastAsia="BatangChe" w:hAnsi="Times New Roman" w:cs="Times New Roman"/>
          <w:bCs/>
          <w:lang w:bidi="he-IL"/>
        </w:rPr>
      </w:pPr>
      <w:r w:rsidRPr="000B1B7C">
        <w:rPr>
          <w:rFonts w:ascii="Times New Roman" w:eastAsia="BatangChe" w:hAnsi="Times New Roman" w:cs="Times New Roman"/>
          <w:bCs/>
          <w:lang w:bidi="he-IL"/>
        </w:rPr>
        <w:t>• Inadequate training of judicial personnel, who sometimes do not fully know the content of the directives and the rights conferred by them;</w:t>
      </w:r>
    </w:p>
    <w:p w14:paraId="75EFCDF1" w14:textId="77777777" w:rsidR="000B1B7C" w:rsidRPr="000B1B7C" w:rsidRDefault="000B1B7C" w:rsidP="008F3516">
      <w:pPr>
        <w:pStyle w:val="Frspaiere"/>
        <w:ind w:firstLine="567"/>
        <w:jc w:val="both"/>
        <w:rPr>
          <w:rFonts w:ascii="Times New Roman" w:eastAsia="BatangChe" w:hAnsi="Times New Roman" w:cs="Times New Roman"/>
          <w:bCs/>
          <w:lang w:bidi="he-IL"/>
        </w:rPr>
      </w:pPr>
      <w:r w:rsidRPr="000B1B7C">
        <w:rPr>
          <w:rFonts w:ascii="Times New Roman" w:eastAsia="BatangChe" w:hAnsi="Times New Roman" w:cs="Times New Roman"/>
          <w:bCs/>
          <w:lang w:bidi="he-IL"/>
        </w:rPr>
        <w:t>• Lack of uniformity in judicial practice, especially regarding the exact moment of informing the suspect or appointing a lawyer ex officio;</w:t>
      </w:r>
    </w:p>
    <w:p w14:paraId="76F00322" w14:textId="77777777" w:rsidR="000B1B7C" w:rsidRPr="000B1B7C" w:rsidRDefault="000B1B7C" w:rsidP="008F3516">
      <w:pPr>
        <w:pStyle w:val="Frspaiere"/>
        <w:ind w:firstLine="567"/>
        <w:jc w:val="both"/>
        <w:rPr>
          <w:rFonts w:ascii="Times New Roman" w:eastAsia="BatangChe" w:hAnsi="Times New Roman" w:cs="Times New Roman"/>
          <w:bCs/>
          <w:lang w:bidi="he-IL"/>
        </w:rPr>
      </w:pPr>
      <w:r w:rsidRPr="000B1B7C">
        <w:rPr>
          <w:rFonts w:ascii="Times New Roman" w:eastAsia="BatangChe" w:hAnsi="Times New Roman" w:cs="Times New Roman"/>
          <w:bCs/>
          <w:lang w:bidi="he-IL"/>
        </w:rPr>
        <w:t>• Insufficient financial resources, which affect the state's capacity to ensure quality interpretation and efficient legal assistance.</w:t>
      </w:r>
    </w:p>
    <w:p w14:paraId="6FFA02D5" w14:textId="77777777" w:rsidR="000B1B7C" w:rsidRDefault="000B1B7C" w:rsidP="000B1B7C">
      <w:pPr>
        <w:pStyle w:val="Frspaiere"/>
        <w:jc w:val="both"/>
        <w:rPr>
          <w:rFonts w:ascii="Times New Roman" w:eastAsia="BatangChe" w:hAnsi="Times New Roman" w:cs="Times New Roman"/>
          <w:b/>
          <w:lang w:bidi="he-IL"/>
        </w:rPr>
      </w:pPr>
    </w:p>
    <w:p w14:paraId="2152DFEE" w14:textId="77777777" w:rsidR="000B1B7C" w:rsidRDefault="000B1B7C" w:rsidP="000B1B7C">
      <w:pPr>
        <w:pStyle w:val="Frspaiere"/>
        <w:jc w:val="both"/>
        <w:rPr>
          <w:rFonts w:ascii="Times New Roman" w:eastAsia="BatangChe" w:hAnsi="Times New Roman" w:cs="Times New Roman"/>
          <w:b/>
          <w:lang w:bidi="he-IL"/>
        </w:rPr>
      </w:pPr>
    </w:p>
    <w:p w14:paraId="7CEC77F3" w14:textId="4FB06533" w:rsidR="00EF2CC8" w:rsidRPr="00EF2CC8" w:rsidRDefault="00EF2CC8" w:rsidP="00EF2CC8">
      <w:pPr>
        <w:pStyle w:val="Frspaiere"/>
        <w:jc w:val="both"/>
        <w:rPr>
          <w:rFonts w:ascii="Times New Roman" w:eastAsia="BatangChe" w:hAnsi="Times New Roman" w:cs="Times New Roman"/>
          <w:b/>
          <w:lang w:bidi="he-IL"/>
        </w:rPr>
      </w:pPr>
      <w:r>
        <w:rPr>
          <w:rFonts w:ascii="Times New Roman" w:eastAsia="BatangChe" w:hAnsi="Times New Roman" w:cs="Times New Roman"/>
          <w:b/>
          <w:lang w:bidi="he-IL"/>
        </w:rPr>
        <w:t>5</w:t>
      </w:r>
      <w:r>
        <w:rPr>
          <w:rFonts w:ascii="Times New Roman" w:eastAsia="BatangChe" w:hAnsi="Times New Roman" w:cs="Times New Roman"/>
          <w:b/>
          <w:lang w:bidi="he-IL"/>
        </w:rPr>
        <w:tab/>
      </w:r>
      <w:r w:rsidRPr="00EF2CC8">
        <w:rPr>
          <w:rFonts w:ascii="Times New Roman" w:eastAsia="BatangChe" w:hAnsi="Times New Roman" w:cs="Times New Roman"/>
          <w:b/>
          <w:lang w:bidi="he-IL"/>
        </w:rPr>
        <w:t>Implications for judicial cooperation</w:t>
      </w:r>
    </w:p>
    <w:p w14:paraId="685704AC" w14:textId="77777777" w:rsidR="00A437A5" w:rsidRDefault="00A437A5" w:rsidP="00EF2CC8">
      <w:pPr>
        <w:pStyle w:val="Frspaiere"/>
        <w:jc w:val="both"/>
        <w:rPr>
          <w:rFonts w:ascii="Times New Roman" w:eastAsia="BatangChe" w:hAnsi="Times New Roman" w:cs="Times New Roman"/>
          <w:bCs/>
          <w:lang w:bidi="he-IL"/>
        </w:rPr>
      </w:pPr>
    </w:p>
    <w:p w14:paraId="16C29FCA" w14:textId="7A4C9E04" w:rsidR="00EF2CC8" w:rsidRPr="00EF2CC8" w:rsidRDefault="00EF2CC8" w:rsidP="00EF2CC8">
      <w:pPr>
        <w:pStyle w:val="Frspaiere"/>
        <w:jc w:val="both"/>
        <w:rPr>
          <w:rFonts w:ascii="Times New Roman" w:eastAsia="BatangChe" w:hAnsi="Times New Roman" w:cs="Times New Roman"/>
          <w:bCs/>
          <w:lang w:bidi="he-IL"/>
        </w:rPr>
      </w:pPr>
      <w:r w:rsidRPr="00EF2CC8">
        <w:rPr>
          <w:rFonts w:ascii="Times New Roman" w:eastAsia="BatangChe" w:hAnsi="Times New Roman" w:cs="Times New Roman"/>
          <w:bCs/>
          <w:lang w:bidi="he-IL"/>
        </w:rPr>
        <w:t xml:space="preserve">Judicial cooperation in criminal matters between the Member States of the European Union is based on the principle of mutual recognition of judicial decisions, established as a "cornerstone" of the construction of a European area of ​​criminal justice (Communication from the Commission to the European Parliament and the Council on the mutual recognition of decisions in criminal matters, </w:t>
      </w:r>
      <w:proofErr w:type="gramStart"/>
      <w:r w:rsidRPr="00EF2CC8">
        <w:rPr>
          <w:rFonts w:ascii="Times New Roman" w:eastAsia="BatangChe" w:hAnsi="Times New Roman" w:cs="Times New Roman"/>
          <w:bCs/>
          <w:lang w:bidi="he-IL"/>
        </w:rPr>
        <w:t>COM(</w:t>
      </w:r>
      <w:proofErr w:type="gramEnd"/>
      <w:r w:rsidRPr="00EF2CC8">
        <w:rPr>
          <w:rFonts w:ascii="Times New Roman" w:eastAsia="BatangChe" w:hAnsi="Times New Roman" w:cs="Times New Roman"/>
          <w:bCs/>
          <w:lang w:bidi="he-IL"/>
        </w:rPr>
        <w:t xml:space="preserve">2005) 195 final). In this context, the </w:t>
      </w:r>
      <w:proofErr w:type="spellStart"/>
      <w:r w:rsidRPr="00EF2CC8">
        <w:rPr>
          <w:rFonts w:ascii="Times New Roman" w:eastAsia="BatangChe" w:hAnsi="Times New Roman" w:cs="Times New Roman"/>
          <w:bCs/>
          <w:lang w:bidi="he-IL"/>
        </w:rPr>
        <w:t>harmonisation</w:t>
      </w:r>
      <w:proofErr w:type="spellEnd"/>
      <w:r w:rsidRPr="00EF2CC8">
        <w:rPr>
          <w:rFonts w:ascii="Times New Roman" w:eastAsia="BatangChe" w:hAnsi="Times New Roman" w:cs="Times New Roman"/>
          <w:bCs/>
          <w:lang w:bidi="he-IL"/>
        </w:rPr>
        <w:t xml:space="preserve"> of the procedural rights of suspects and accused persons plays an essential role for the efficient and fair functioning of this cooperation mechanism.</w:t>
      </w:r>
    </w:p>
    <w:p w14:paraId="5FADC632" w14:textId="77777777" w:rsidR="00A437A5" w:rsidRDefault="00A437A5" w:rsidP="00A437A5">
      <w:pPr>
        <w:pStyle w:val="Frspaiere"/>
        <w:ind w:firstLine="567"/>
        <w:jc w:val="both"/>
        <w:rPr>
          <w:rFonts w:ascii="Times New Roman" w:eastAsia="BatangChe" w:hAnsi="Times New Roman" w:cs="Times New Roman"/>
          <w:bCs/>
          <w:lang w:bidi="he-IL"/>
        </w:rPr>
      </w:pPr>
    </w:p>
    <w:p w14:paraId="4378BB42" w14:textId="6D5B3930" w:rsidR="00EF2CC8" w:rsidRPr="00A437A5" w:rsidRDefault="00EF2CC8" w:rsidP="00A437A5">
      <w:pPr>
        <w:pStyle w:val="Frspaiere"/>
        <w:ind w:firstLine="567"/>
        <w:jc w:val="both"/>
        <w:rPr>
          <w:rFonts w:ascii="Times New Roman" w:eastAsia="BatangChe" w:hAnsi="Times New Roman" w:cs="Times New Roman"/>
          <w:b/>
          <w:lang w:bidi="he-IL"/>
        </w:rPr>
      </w:pPr>
      <w:r w:rsidRPr="00A437A5">
        <w:rPr>
          <w:rFonts w:ascii="Times New Roman" w:eastAsia="BatangChe" w:hAnsi="Times New Roman" w:cs="Times New Roman"/>
          <w:b/>
          <w:lang w:bidi="he-IL"/>
        </w:rPr>
        <w:t>a. Increasing mutual trust between judicial authorities</w:t>
      </w:r>
    </w:p>
    <w:p w14:paraId="09B4B9A2" w14:textId="77777777" w:rsidR="00EF2CC8" w:rsidRPr="00EF2CC8" w:rsidRDefault="00EF2CC8" w:rsidP="00EF2CC8">
      <w:pPr>
        <w:pStyle w:val="Frspaiere"/>
        <w:jc w:val="both"/>
        <w:rPr>
          <w:rFonts w:ascii="Times New Roman" w:eastAsia="BatangChe" w:hAnsi="Times New Roman" w:cs="Times New Roman"/>
          <w:bCs/>
          <w:lang w:bidi="he-IL"/>
        </w:rPr>
      </w:pPr>
      <w:r w:rsidRPr="00EF2CC8">
        <w:rPr>
          <w:rFonts w:ascii="Times New Roman" w:eastAsia="BatangChe" w:hAnsi="Times New Roman" w:cs="Times New Roman"/>
          <w:bCs/>
          <w:lang w:bidi="he-IL"/>
        </w:rPr>
        <w:t>One of the most important implications of the implementation of the directives on procedural rights is the strengthening of mutual trust between the judicial authorities of the Member States. This trust is the basic condition for a Member State to accept, for example, the execution of a European arrest warrant (EAW) issued by another State (Art. 1(2) of Framework Decision 2002/584/JHA on EAW).</w:t>
      </w:r>
    </w:p>
    <w:p w14:paraId="7542297B" w14:textId="77777777" w:rsidR="00EF2CC8" w:rsidRPr="00EF2CC8" w:rsidRDefault="00EF2CC8" w:rsidP="00EF2CC8">
      <w:pPr>
        <w:pStyle w:val="Frspaiere"/>
        <w:jc w:val="both"/>
        <w:rPr>
          <w:rFonts w:ascii="Times New Roman" w:eastAsia="BatangChe" w:hAnsi="Times New Roman" w:cs="Times New Roman"/>
          <w:bCs/>
          <w:lang w:bidi="he-IL"/>
        </w:rPr>
      </w:pPr>
      <w:r w:rsidRPr="00EF2CC8">
        <w:rPr>
          <w:rFonts w:ascii="Times New Roman" w:eastAsia="BatangChe" w:hAnsi="Times New Roman" w:cs="Times New Roman"/>
          <w:bCs/>
          <w:lang w:bidi="he-IL"/>
        </w:rPr>
        <w:t>In the absence of a common regulatory framework guaranteeing the effective protection of fundamental rights, the occurrence of refusals of execution or requests for additional information is inevitable. Thus, uneven transposition or poor application of the directives can seriously affect the efficiency of cooperation.</w:t>
      </w:r>
    </w:p>
    <w:p w14:paraId="1BEE5CBA" w14:textId="77777777" w:rsidR="00A437A5" w:rsidRDefault="00A437A5" w:rsidP="00EF2CC8">
      <w:pPr>
        <w:pStyle w:val="Frspaiere"/>
        <w:jc w:val="both"/>
        <w:rPr>
          <w:rFonts w:ascii="Times New Roman" w:eastAsia="BatangChe" w:hAnsi="Times New Roman" w:cs="Times New Roman"/>
          <w:bCs/>
          <w:lang w:bidi="he-IL"/>
        </w:rPr>
      </w:pPr>
    </w:p>
    <w:p w14:paraId="063E4547" w14:textId="28994B66" w:rsidR="00EF2CC8" w:rsidRPr="00A437A5" w:rsidRDefault="00EF2CC8" w:rsidP="00A437A5">
      <w:pPr>
        <w:pStyle w:val="Frspaiere"/>
        <w:ind w:firstLine="567"/>
        <w:jc w:val="both"/>
        <w:rPr>
          <w:rFonts w:ascii="Times New Roman" w:eastAsia="BatangChe" w:hAnsi="Times New Roman" w:cs="Times New Roman"/>
          <w:b/>
          <w:lang w:bidi="he-IL"/>
        </w:rPr>
      </w:pPr>
      <w:r w:rsidRPr="00A437A5">
        <w:rPr>
          <w:rFonts w:ascii="Times New Roman" w:eastAsia="BatangChe" w:hAnsi="Times New Roman" w:cs="Times New Roman"/>
          <w:b/>
          <w:lang w:bidi="he-IL"/>
        </w:rPr>
        <w:t>b. Standardization vs. procedural sovereignty</w:t>
      </w:r>
    </w:p>
    <w:p w14:paraId="1DF4765C" w14:textId="77777777" w:rsidR="00EF2CC8" w:rsidRPr="00EF2CC8" w:rsidRDefault="00EF2CC8" w:rsidP="00EF2CC8">
      <w:pPr>
        <w:pStyle w:val="Frspaiere"/>
        <w:jc w:val="both"/>
        <w:rPr>
          <w:rFonts w:ascii="Times New Roman" w:eastAsia="BatangChe" w:hAnsi="Times New Roman" w:cs="Times New Roman"/>
          <w:bCs/>
          <w:lang w:bidi="he-IL"/>
        </w:rPr>
      </w:pPr>
      <w:r w:rsidRPr="00EF2CC8">
        <w:rPr>
          <w:rFonts w:ascii="Times New Roman" w:eastAsia="BatangChe" w:hAnsi="Times New Roman" w:cs="Times New Roman"/>
          <w:bCs/>
          <w:lang w:bidi="he-IL"/>
        </w:rPr>
        <w:t xml:space="preserve">The directive does not standardize national criminal laws in full, but imposes common minimum standards. In practice, however, this partial standardization has generated tensions between the procedural sovereignty of the States and the need for regulatory convergence. Member States have had to adapt their national procedures to comply with the new procedural rights, which has required not only legislative changes but also logistical and financial </w:t>
      </w:r>
      <w:proofErr w:type="spellStart"/>
      <w:r w:rsidRPr="00EF2CC8">
        <w:rPr>
          <w:rFonts w:ascii="Times New Roman" w:eastAsia="BatangChe" w:hAnsi="Times New Roman" w:cs="Times New Roman"/>
          <w:bCs/>
          <w:lang w:bidi="he-IL"/>
        </w:rPr>
        <w:t>reorganisation</w:t>
      </w:r>
      <w:proofErr w:type="spellEnd"/>
      <w:r w:rsidRPr="00EF2CC8">
        <w:rPr>
          <w:rFonts w:ascii="Times New Roman" w:eastAsia="BatangChe" w:hAnsi="Times New Roman" w:cs="Times New Roman"/>
          <w:bCs/>
          <w:lang w:bidi="he-IL"/>
        </w:rPr>
        <w:t xml:space="preserve"> of the judicial systems (Douglas-Scott, S. (2011).</w:t>
      </w:r>
    </w:p>
    <w:p w14:paraId="0C25F039" w14:textId="77777777" w:rsidR="00A437A5" w:rsidRDefault="00A437A5" w:rsidP="00EF2CC8">
      <w:pPr>
        <w:pStyle w:val="Frspaiere"/>
        <w:jc w:val="both"/>
        <w:rPr>
          <w:rFonts w:ascii="Times New Roman" w:eastAsia="BatangChe" w:hAnsi="Times New Roman" w:cs="Times New Roman"/>
          <w:bCs/>
          <w:lang w:bidi="he-IL"/>
        </w:rPr>
      </w:pPr>
    </w:p>
    <w:p w14:paraId="466D586D" w14:textId="226808CA" w:rsidR="00EF2CC8" w:rsidRPr="00EF2CC8" w:rsidRDefault="00EF2CC8" w:rsidP="00EF2CC8">
      <w:pPr>
        <w:pStyle w:val="Frspaiere"/>
        <w:jc w:val="both"/>
        <w:rPr>
          <w:rFonts w:ascii="Times New Roman" w:eastAsia="BatangChe" w:hAnsi="Times New Roman" w:cs="Times New Roman"/>
          <w:bCs/>
          <w:lang w:bidi="he-IL"/>
        </w:rPr>
      </w:pPr>
      <w:r w:rsidRPr="00EF2CC8">
        <w:rPr>
          <w:rFonts w:ascii="Times New Roman" w:eastAsia="BatangChe" w:hAnsi="Times New Roman" w:cs="Times New Roman"/>
          <w:bCs/>
          <w:lang w:bidi="he-IL"/>
        </w:rPr>
        <w:t>Some states have perceived this as an interference in their criminal justice system, and transposition has sometimes been formal or incomplete (Fair Trials International, The Road Ahead: The EU’s Agenda on Procedural Rights, 2018), which can lead to inequalities between citizens depending on the Member State in which they are tried.</w:t>
      </w:r>
    </w:p>
    <w:p w14:paraId="351B5132" w14:textId="77777777" w:rsidR="00A437A5" w:rsidRDefault="00A437A5" w:rsidP="00EF2CC8">
      <w:pPr>
        <w:pStyle w:val="Frspaiere"/>
        <w:jc w:val="both"/>
        <w:rPr>
          <w:rFonts w:ascii="Times New Roman" w:eastAsia="BatangChe" w:hAnsi="Times New Roman" w:cs="Times New Roman"/>
          <w:bCs/>
          <w:lang w:bidi="he-IL"/>
        </w:rPr>
      </w:pPr>
    </w:p>
    <w:p w14:paraId="6BE61F7E" w14:textId="267D6F15" w:rsidR="00EF2CC8" w:rsidRPr="00A437A5" w:rsidRDefault="00EF2CC8" w:rsidP="00A437A5">
      <w:pPr>
        <w:pStyle w:val="Frspaiere"/>
        <w:ind w:firstLine="567"/>
        <w:jc w:val="both"/>
        <w:rPr>
          <w:rFonts w:ascii="Times New Roman" w:eastAsia="BatangChe" w:hAnsi="Times New Roman" w:cs="Times New Roman"/>
          <w:b/>
          <w:lang w:bidi="he-IL"/>
        </w:rPr>
      </w:pPr>
      <w:r w:rsidRPr="00A437A5">
        <w:rPr>
          <w:rFonts w:ascii="Times New Roman" w:eastAsia="BatangChe" w:hAnsi="Times New Roman" w:cs="Times New Roman"/>
          <w:b/>
          <w:lang w:bidi="he-IL"/>
        </w:rPr>
        <w:lastRenderedPageBreak/>
        <w:t>c. Impact on cooperation instruments (e.g. EAW, EIO)</w:t>
      </w:r>
    </w:p>
    <w:p w14:paraId="76531311" w14:textId="77777777" w:rsidR="00EF2CC8" w:rsidRPr="00EF2CC8" w:rsidRDefault="00EF2CC8" w:rsidP="00EF2CC8">
      <w:pPr>
        <w:pStyle w:val="Frspaiere"/>
        <w:jc w:val="both"/>
        <w:rPr>
          <w:rFonts w:ascii="Times New Roman" w:eastAsia="BatangChe" w:hAnsi="Times New Roman" w:cs="Times New Roman"/>
          <w:bCs/>
          <w:lang w:bidi="he-IL"/>
        </w:rPr>
      </w:pPr>
      <w:r w:rsidRPr="00EF2CC8">
        <w:rPr>
          <w:rFonts w:ascii="Times New Roman" w:eastAsia="BatangChe" w:hAnsi="Times New Roman" w:cs="Times New Roman"/>
          <w:bCs/>
          <w:lang w:bidi="he-IL"/>
        </w:rPr>
        <w:t>Among the most affected cooperation mechanisms are:</w:t>
      </w:r>
    </w:p>
    <w:p w14:paraId="6C0F5B66" w14:textId="77777777" w:rsidR="00EF2CC8" w:rsidRPr="00EF2CC8" w:rsidRDefault="00EF2CC8" w:rsidP="004C5964">
      <w:pPr>
        <w:pStyle w:val="Frspaiere"/>
        <w:ind w:firstLine="567"/>
        <w:jc w:val="both"/>
        <w:rPr>
          <w:rFonts w:ascii="Times New Roman" w:eastAsia="BatangChe" w:hAnsi="Times New Roman" w:cs="Times New Roman"/>
          <w:bCs/>
          <w:lang w:bidi="he-IL"/>
        </w:rPr>
      </w:pPr>
      <w:r w:rsidRPr="00EF2CC8">
        <w:rPr>
          <w:rFonts w:ascii="Times New Roman" w:eastAsia="BatangChe" w:hAnsi="Times New Roman" w:cs="Times New Roman"/>
          <w:bCs/>
          <w:lang w:bidi="he-IL"/>
        </w:rPr>
        <w:t>• European Arrest Warrant (EAW): several cases before the CJEU and national courts have raised the issue of refusal of surrender in situations where there are suspicions that the fundamental rights of the person sought would not be respected in the issuing State.</w:t>
      </w:r>
    </w:p>
    <w:p w14:paraId="24324B5F" w14:textId="77777777" w:rsidR="00EF2CC8" w:rsidRPr="00EF2CC8" w:rsidRDefault="00EF2CC8" w:rsidP="004C5964">
      <w:pPr>
        <w:pStyle w:val="Frspaiere"/>
        <w:ind w:firstLine="567"/>
        <w:jc w:val="both"/>
        <w:rPr>
          <w:rFonts w:ascii="Times New Roman" w:eastAsia="BatangChe" w:hAnsi="Times New Roman" w:cs="Times New Roman"/>
          <w:bCs/>
          <w:lang w:bidi="he-IL"/>
        </w:rPr>
      </w:pPr>
      <w:r w:rsidRPr="00EF2CC8">
        <w:rPr>
          <w:rFonts w:ascii="Times New Roman" w:eastAsia="BatangChe" w:hAnsi="Times New Roman" w:cs="Times New Roman"/>
          <w:bCs/>
          <w:lang w:bidi="he-IL"/>
        </w:rPr>
        <w:t>• European Investigation Order (EIO): uneven implementation of the directives may call into question the validity and legality of evidence obtained in one state and used in another (Bunyan, T., 2012).</w:t>
      </w:r>
    </w:p>
    <w:p w14:paraId="388243F8" w14:textId="77777777" w:rsidR="00EF2CC8" w:rsidRPr="00EF2CC8" w:rsidRDefault="00EF2CC8" w:rsidP="00EF2CC8">
      <w:pPr>
        <w:pStyle w:val="Frspaiere"/>
        <w:jc w:val="both"/>
        <w:rPr>
          <w:rFonts w:ascii="Times New Roman" w:eastAsia="BatangChe" w:hAnsi="Times New Roman" w:cs="Times New Roman"/>
          <w:bCs/>
          <w:lang w:bidi="he-IL"/>
        </w:rPr>
      </w:pPr>
      <w:r w:rsidRPr="00EF2CC8">
        <w:rPr>
          <w:rFonts w:ascii="Times New Roman" w:eastAsia="BatangChe" w:hAnsi="Times New Roman" w:cs="Times New Roman"/>
          <w:bCs/>
          <w:lang w:bidi="he-IL"/>
        </w:rPr>
        <w:t>Therefore, procedural incompatibility between Member States, in the absence of effective application of the directives, may affect the probative value of evidence or the automatic recognition of judgments.</w:t>
      </w:r>
    </w:p>
    <w:p w14:paraId="7BC2C03A" w14:textId="77777777" w:rsidR="004C5964" w:rsidRDefault="004C5964" w:rsidP="00EF2CC8">
      <w:pPr>
        <w:pStyle w:val="Frspaiere"/>
        <w:jc w:val="both"/>
        <w:rPr>
          <w:rFonts w:ascii="Times New Roman" w:eastAsia="BatangChe" w:hAnsi="Times New Roman" w:cs="Times New Roman"/>
          <w:bCs/>
          <w:lang w:bidi="he-IL"/>
        </w:rPr>
      </w:pPr>
    </w:p>
    <w:p w14:paraId="78764D5E" w14:textId="27762DAB" w:rsidR="00EF2CC8" w:rsidRPr="004C5964" w:rsidRDefault="00EF2CC8" w:rsidP="004C5964">
      <w:pPr>
        <w:pStyle w:val="Frspaiere"/>
        <w:ind w:firstLine="567"/>
        <w:jc w:val="both"/>
        <w:rPr>
          <w:rFonts w:ascii="Times New Roman" w:eastAsia="BatangChe" w:hAnsi="Times New Roman" w:cs="Times New Roman"/>
          <w:b/>
          <w:lang w:bidi="he-IL"/>
        </w:rPr>
      </w:pPr>
      <w:r w:rsidRPr="004C5964">
        <w:rPr>
          <w:rFonts w:ascii="Times New Roman" w:eastAsia="BatangChe" w:hAnsi="Times New Roman" w:cs="Times New Roman"/>
          <w:b/>
          <w:lang w:bidi="he-IL"/>
        </w:rPr>
        <w:t>d. The role of the CJEU and case-law convergence</w:t>
      </w:r>
    </w:p>
    <w:p w14:paraId="6D830BE7" w14:textId="77777777" w:rsidR="00EF2CC8" w:rsidRPr="00EF2CC8" w:rsidRDefault="00EF2CC8" w:rsidP="00EF2CC8">
      <w:pPr>
        <w:pStyle w:val="Frspaiere"/>
        <w:jc w:val="both"/>
        <w:rPr>
          <w:rFonts w:ascii="Times New Roman" w:eastAsia="BatangChe" w:hAnsi="Times New Roman" w:cs="Times New Roman"/>
          <w:bCs/>
          <w:lang w:bidi="he-IL"/>
        </w:rPr>
      </w:pPr>
      <w:r w:rsidRPr="00EF2CC8">
        <w:rPr>
          <w:rFonts w:ascii="Times New Roman" w:eastAsia="BatangChe" w:hAnsi="Times New Roman" w:cs="Times New Roman"/>
          <w:bCs/>
          <w:lang w:bidi="he-IL"/>
        </w:rPr>
        <w:t xml:space="preserve">The Court of Justice of the European Union (CJEU) has played an essential role in clarifying and strengthening the principles of judicial cooperation, including by establishing limits to mutual recognition in cases where fundamental rights risk being violated. Cases such as Aranyosi and </w:t>
      </w:r>
      <w:proofErr w:type="spellStart"/>
      <w:r w:rsidRPr="00EF2CC8">
        <w:rPr>
          <w:rFonts w:ascii="Times New Roman" w:eastAsia="BatangChe" w:hAnsi="Times New Roman" w:cs="Times New Roman"/>
          <w:bCs/>
          <w:lang w:bidi="he-IL"/>
        </w:rPr>
        <w:t>Căldăraru</w:t>
      </w:r>
      <w:proofErr w:type="spellEnd"/>
      <w:r w:rsidRPr="00EF2CC8">
        <w:rPr>
          <w:rFonts w:ascii="Times New Roman" w:eastAsia="BatangChe" w:hAnsi="Times New Roman" w:cs="Times New Roman"/>
          <w:bCs/>
          <w:lang w:bidi="he-IL"/>
        </w:rPr>
        <w:t xml:space="preserve"> or Dorobantu have highlighted that procedural rights cannot be sacrificed in the name of the efficiency of cooperation (</w:t>
      </w:r>
      <w:proofErr w:type="spellStart"/>
      <w:r w:rsidRPr="00EF2CC8">
        <w:rPr>
          <w:rFonts w:ascii="Times New Roman" w:eastAsia="BatangChe" w:hAnsi="Times New Roman" w:cs="Times New Roman"/>
          <w:bCs/>
          <w:lang w:bidi="he-IL"/>
        </w:rPr>
        <w:t>Brière</w:t>
      </w:r>
      <w:proofErr w:type="spellEnd"/>
      <w:r w:rsidRPr="00EF2CC8">
        <w:rPr>
          <w:rFonts w:ascii="Times New Roman" w:eastAsia="BatangChe" w:hAnsi="Times New Roman" w:cs="Times New Roman"/>
          <w:bCs/>
          <w:lang w:bidi="he-IL"/>
        </w:rPr>
        <w:t xml:space="preserve">, C., &amp; </w:t>
      </w:r>
      <w:proofErr w:type="spellStart"/>
      <w:r w:rsidRPr="00EF2CC8">
        <w:rPr>
          <w:rFonts w:ascii="Times New Roman" w:eastAsia="BatangChe" w:hAnsi="Times New Roman" w:cs="Times New Roman"/>
          <w:bCs/>
          <w:lang w:bidi="he-IL"/>
        </w:rPr>
        <w:t>Weyembergh</w:t>
      </w:r>
      <w:proofErr w:type="spellEnd"/>
      <w:r w:rsidRPr="00EF2CC8">
        <w:rPr>
          <w:rFonts w:ascii="Times New Roman" w:eastAsia="BatangChe" w:hAnsi="Times New Roman" w:cs="Times New Roman"/>
          <w:bCs/>
          <w:lang w:bidi="he-IL"/>
        </w:rPr>
        <w:t>, A. (Eds.). (2018).</w:t>
      </w:r>
    </w:p>
    <w:p w14:paraId="5A52655B" w14:textId="77777777" w:rsidR="004C5964" w:rsidRDefault="004C5964" w:rsidP="00EF2CC8">
      <w:pPr>
        <w:pStyle w:val="Frspaiere"/>
        <w:jc w:val="both"/>
        <w:rPr>
          <w:rFonts w:ascii="Times New Roman" w:eastAsia="BatangChe" w:hAnsi="Times New Roman" w:cs="Times New Roman"/>
          <w:bCs/>
          <w:lang w:bidi="he-IL"/>
        </w:rPr>
      </w:pPr>
    </w:p>
    <w:p w14:paraId="576C8764" w14:textId="7955595E" w:rsidR="00EF2CC8" w:rsidRPr="00EF2CC8" w:rsidRDefault="00EF2CC8" w:rsidP="00EF2CC8">
      <w:pPr>
        <w:pStyle w:val="Frspaiere"/>
        <w:jc w:val="both"/>
        <w:rPr>
          <w:rFonts w:ascii="Times New Roman" w:eastAsia="BatangChe" w:hAnsi="Times New Roman" w:cs="Times New Roman"/>
          <w:bCs/>
          <w:lang w:bidi="he-IL"/>
        </w:rPr>
      </w:pPr>
      <w:r w:rsidRPr="00EF2CC8">
        <w:rPr>
          <w:rFonts w:ascii="Times New Roman" w:eastAsia="BatangChe" w:hAnsi="Times New Roman" w:cs="Times New Roman"/>
          <w:bCs/>
          <w:lang w:bidi="he-IL"/>
        </w:rPr>
        <w:t xml:space="preserve">This jurisprudence has imposed on states the obligation to verify detention conditions, access to a lawyer and other fundamental rights, which implies an </w:t>
      </w:r>
      <w:proofErr w:type="spellStart"/>
      <w:r w:rsidRPr="00EF2CC8">
        <w:rPr>
          <w:rFonts w:ascii="Times New Roman" w:eastAsia="BatangChe" w:hAnsi="Times New Roman" w:cs="Times New Roman"/>
          <w:bCs/>
          <w:lang w:bidi="he-IL"/>
        </w:rPr>
        <w:t>individualised</w:t>
      </w:r>
      <w:proofErr w:type="spellEnd"/>
      <w:r w:rsidRPr="00EF2CC8">
        <w:rPr>
          <w:rFonts w:ascii="Times New Roman" w:eastAsia="BatangChe" w:hAnsi="Times New Roman" w:cs="Times New Roman"/>
          <w:bCs/>
          <w:lang w:bidi="he-IL"/>
        </w:rPr>
        <w:t xml:space="preserve"> assessment and can lead to a slowdown in the cooperation process.</w:t>
      </w:r>
    </w:p>
    <w:p w14:paraId="7DF41127" w14:textId="77777777" w:rsidR="004C5964" w:rsidRDefault="004C5964" w:rsidP="00EF2CC8">
      <w:pPr>
        <w:pStyle w:val="Frspaiere"/>
        <w:jc w:val="both"/>
        <w:rPr>
          <w:rFonts w:ascii="Times New Roman" w:eastAsia="BatangChe" w:hAnsi="Times New Roman" w:cs="Times New Roman"/>
          <w:bCs/>
          <w:lang w:bidi="he-IL"/>
        </w:rPr>
      </w:pPr>
    </w:p>
    <w:p w14:paraId="7992E583" w14:textId="260737CA" w:rsidR="00EF2CC8" w:rsidRPr="004C5964" w:rsidRDefault="00EF2CC8" w:rsidP="004C5964">
      <w:pPr>
        <w:pStyle w:val="Frspaiere"/>
        <w:ind w:firstLine="567"/>
        <w:jc w:val="both"/>
        <w:rPr>
          <w:rFonts w:ascii="Times New Roman" w:eastAsia="BatangChe" w:hAnsi="Times New Roman" w:cs="Times New Roman"/>
          <w:b/>
          <w:lang w:bidi="he-IL"/>
        </w:rPr>
      </w:pPr>
      <w:r w:rsidRPr="004C5964">
        <w:rPr>
          <w:rFonts w:ascii="Times New Roman" w:eastAsia="BatangChe" w:hAnsi="Times New Roman" w:cs="Times New Roman"/>
          <w:b/>
          <w:lang w:bidi="he-IL"/>
        </w:rPr>
        <w:t>e. Prospects: towards rights-based cooperation</w:t>
      </w:r>
    </w:p>
    <w:p w14:paraId="673B5B35" w14:textId="137BB8CC" w:rsidR="000B1B7C" w:rsidRPr="00EF2CC8" w:rsidRDefault="00EF2CC8" w:rsidP="00EF2CC8">
      <w:pPr>
        <w:pStyle w:val="Frspaiere"/>
        <w:jc w:val="both"/>
        <w:rPr>
          <w:rFonts w:ascii="Times New Roman" w:eastAsia="BatangChe" w:hAnsi="Times New Roman" w:cs="Times New Roman"/>
          <w:bCs/>
          <w:lang w:bidi="he-IL"/>
        </w:rPr>
      </w:pPr>
      <w:r w:rsidRPr="00EF2CC8">
        <w:rPr>
          <w:rFonts w:ascii="Times New Roman" w:eastAsia="BatangChe" w:hAnsi="Times New Roman" w:cs="Times New Roman"/>
          <w:bCs/>
          <w:lang w:bidi="he-IL"/>
        </w:rPr>
        <w:t>In the long term, the full and coherent implementation of European directives can transform criminal judicial cooperation from a technical mechanism into a system based on common values, in particular respect for human dignity, the rule of law and human rights. Strengthening judicial networks, such as Eurojust, and deepening the professional training of magistrates in EU law are essential conditions for the success of this process (Ligeti, K., &amp; Robinson, G. (2014).</w:t>
      </w:r>
    </w:p>
    <w:p w14:paraId="4CEE37DD" w14:textId="77777777" w:rsidR="000B1B7C" w:rsidRDefault="000B1B7C" w:rsidP="000B1B7C">
      <w:pPr>
        <w:pStyle w:val="Frspaiere"/>
        <w:jc w:val="both"/>
        <w:rPr>
          <w:rFonts w:ascii="Times New Roman" w:eastAsia="BatangChe" w:hAnsi="Times New Roman" w:cs="Times New Roman"/>
          <w:b/>
          <w:lang w:bidi="he-IL"/>
        </w:rPr>
      </w:pPr>
    </w:p>
    <w:p w14:paraId="1D8C150A" w14:textId="77777777" w:rsidR="000B1B7C" w:rsidRDefault="000B1B7C" w:rsidP="000B1B7C">
      <w:pPr>
        <w:pStyle w:val="Frspaiere"/>
        <w:jc w:val="both"/>
        <w:rPr>
          <w:rFonts w:ascii="Times New Roman" w:eastAsia="BatangChe" w:hAnsi="Times New Roman" w:cs="Times New Roman"/>
          <w:b/>
          <w:lang w:bidi="he-IL"/>
        </w:rPr>
      </w:pPr>
    </w:p>
    <w:p w14:paraId="4343A7DF" w14:textId="69E1FBF7" w:rsidR="0051693B" w:rsidRPr="0051693B" w:rsidRDefault="0051693B" w:rsidP="000B1B7C">
      <w:pPr>
        <w:pStyle w:val="Frspaiere"/>
        <w:jc w:val="both"/>
        <w:rPr>
          <w:rFonts w:ascii="Times New Roman" w:eastAsia="BatangChe" w:hAnsi="Times New Roman" w:cs="Times New Roman"/>
          <w:b/>
          <w:lang w:bidi="he-IL"/>
        </w:rPr>
      </w:pPr>
      <w:r>
        <w:rPr>
          <w:rFonts w:ascii="Times New Roman" w:eastAsia="BatangChe" w:hAnsi="Times New Roman" w:cs="Times New Roman"/>
          <w:b/>
          <w:lang w:bidi="he-IL"/>
        </w:rPr>
        <w:t xml:space="preserve">6 </w:t>
      </w:r>
      <w:r w:rsidR="00E26D84">
        <w:rPr>
          <w:rFonts w:ascii="Times New Roman" w:eastAsia="BatangChe" w:hAnsi="Times New Roman" w:cs="Times New Roman"/>
          <w:b/>
          <w:lang w:bidi="he-IL"/>
        </w:rPr>
        <w:tab/>
      </w:r>
      <w:r w:rsidRPr="0051693B">
        <w:rPr>
          <w:rFonts w:ascii="Times New Roman" w:eastAsia="BatangChe" w:hAnsi="Times New Roman" w:cs="Times New Roman"/>
          <w:b/>
          <w:lang w:bidi="he-IL"/>
        </w:rPr>
        <w:t>Conclusion</w:t>
      </w:r>
    </w:p>
    <w:p w14:paraId="6D6FFF96" w14:textId="77777777" w:rsidR="0051693B" w:rsidRDefault="0051693B" w:rsidP="0051693B">
      <w:pPr>
        <w:pStyle w:val="Frspaiere"/>
        <w:jc w:val="both"/>
        <w:rPr>
          <w:rFonts w:ascii="Times New Roman" w:eastAsia="BatangChe" w:hAnsi="Times New Roman" w:cs="Times New Roman"/>
          <w:bCs/>
          <w:lang w:bidi="he-IL"/>
        </w:rPr>
      </w:pPr>
    </w:p>
    <w:p w14:paraId="50D6B001" w14:textId="77777777" w:rsidR="00F270B2" w:rsidRPr="00F270B2" w:rsidRDefault="00F270B2" w:rsidP="00F270B2">
      <w:pPr>
        <w:jc w:val="both"/>
        <w:rPr>
          <w:rFonts w:eastAsia="BatangChe"/>
          <w:bCs/>
          <w:kern w:val="2"/>
          <w:sz w:val="22"/>
          <w:szCs w:val="22"/>
          <w:lang w:val="en-US" w:eastAsia="en-US" w:bidi="he-IL"/>
        </w:rPr>
      </w:pPr>
      <w:r w:rsidRPr="00F270B2">
        <w:rPr>
          <w:rFonts w:eastAsia="BatangChe"/>
          <w:bCs/>
          <w:kern w:val="2"/>
          <w:sz w:val="22"/>
          <w:szCs w:val="22"/>
          <w:lang w:val="en-US" w:eastAsia="en-US" w:bidi="he-IL"/>
        </w:rPr>
        <w:t xml:space="preserve">The implementation of European directives in criminal procedure is a continuous and complex process, which involves not only legislative amendments, but also a paradigm </w:t>
      </w:r>
      <w:proofErr w:type="gramStart"/>
      <w:r w:rsidRPr="00F270B2">
        <w:rPr>
          <w:rFonts w:eastAsia="BatangChe"/>
          <w:bCs/>
          <w:kern w:val="2"/>
          <w:sz w:val="22"/>
          <w:szCs w:val="22"/>
          <w:lang w:val="en-US" w:eastAsia="en-US" w:bidi="he-IL"/>
        </w:rPr>
        <w:t>shift</w:t>
      </w:r>
      <w:proofErr w:type="gramEnd"/>
      <w:r w:rsidRPr="00F270B2">
        <w:rPr>
          <w:rFonts w:eastAsia="BatangChe"/>
          <w:bCs/>
          <w:kern w:val="2"/>
          <w:sz w:val="22"/>
          <w:szCs w:val="22"/>
          <w:lang w:val="en-US" w:eastAsia="en-US" w:bidi="he-IL"/>
        </w:rPr>
        <w:t xml:space="preserve"> in the domestic legal culture. Formal transposition must be accompanied by effective enforcement, appropriate training of the actors involved and the provision of the necessary resources.</w:t>
      </w:r>
    </w:p>
    <w:p w14:paraId="2501D012" w14:textId="77777777" w:rsidR="00F270B2" w:rsidRDefault="00F270B2" w:rsidP="00F270B2">
      <w:pPr>
        <w:jc w:val="both"/>
        <w:rPr>
          <w:rFonts w:eastAsia="BatangChe"/>
          <w:bCs/>
          <w:kern w:val="2"/>
          <w:sz w:val="22"/>
          <w:szCs w:val="22"/>
          <w:lang w:val="en-US" w:eastAsia="en-US" w:bidi="he-IL"/>
        </w:rPr>
      </w:pPr>
      <w:r w:rsidRPr="00F270B2">
        <w:rPr>
          <w:rFonts w:eastAsia="BatangChe"/>
          <w:bCs/>
          <w:kern w:val="2"/>
          <w:sz w:val="22"/>
          <w:szCs w:val="22"/>
          <w:lang w:val="en-US" w:eastAsia="en-US" w:bidi="he-IL"/>
        </w:rPr>
        <w:t>Compliance with European standards in criminal procedure contributes not only to the protection of the fundamental rights of citizens, but also to the strengthening of the rule of law and international judicial cooperation.</w:t>
      </w:r>
    </w:p>
    <w:p w14:paraId="530CCC57" w14:textId="77777777" w:rsidR="00F270B2" w:rsidRDefault="00F270B2" w:rsidP="00F270B2">
      <w:pPr>
        <w:jc w:val="both"/>
        <w:rPr>
          <w:rFonts w:eastAsia="BatangChe"/>
          <w:bCs/>
          <w:kern w:val="2"/>
          <w:sz w:val="22"/>
          <w:szCs w:val="22"/>
          <w:lang w:val="en-US" w:eastAsia="en-US" w:bidi="he-IL"/>
        </w:rPr>
      </w:pPr>
    </w:p>
    <w:p w14:paraId="091F1470" w14:textId="5198193B" w:rsidR="001648E5" w:rsidRPr="001648E5" w:rsidRDefault="00E26D84" w:rsidP="00F270B2">
      <w:pPr>
        <w:jc w:val="both"/>
        <w:rPr>
          <w:b/>
          <w:bCs/>
          <w:sz w:val="22"/>
          <w:szCs w:val="22"/>
          <w:lang w:val="en-GB" w:eastAsia="ja-JP"/>
        </w:rPr>
      </w:pPr>
      <w:r>
        <w:rPr>
          <w:b/>
          <w:bCs/>
          <w:sz w:val="22"/>
          <w:szCs w:val="22"/>
          <w:lang w:val="en-GB" w:eastAsia="ja-JP"/>
        </w:rPr>
        <w:t>7</w:t>
      </w:r>
      <w:r w:rsidR="001648E5" w:rsidRPr="001648E5">
        <w:rPr>
          <w:b/>
          <w:bCs/>
          <w:sz w:val="22"/>
          <w:szCs w:val="22"/>
          <w:lang w:val="en-GB" w:eastAsia="ja-JP"/>
        </w:rPr>
        <w:t xml:space="preserve"> </w:t>
      </w:r>
      <w:r>
        <w:rPr>
          <w:b/>
          <w:bCs/>
          <w:sz w:val="22"/>
          <w:szCs w:val="22"/>
          <w:lang w:val="en-GB" w:eastAsia="ja-JP"/>
        </w:rPr>
        <w:tab/>
      </w:r>
      <w:r w:rsidR="001648E5" w:rsidRPr="001648E5">
        <w:rPr>
          <w:b/>
          <w:bCs/>
          <w:sz w:val="22"/>
          <w:szCs w:val="22"/>
          <w:lang w:val="en-GB" w:eastAsia="ja-JP"/>
        </w:rPr>
        <w:t>References</w:t>
      </w:r>
    </w:p>
    <w:p w14:paraId="085FC9E8" w14:textId="77777777" w:rsidR="001648E5" w:rsidRPr="001648E5" w:rsidRDefault="001648E5" w:rsidP="001648E5">
      <w:pPr>
        <w:jc w:val="both"/>
        <w:rPr>
          <w:sz w:val="22"/>
          <w:szCs w:val="22"/>
          <w:lang w:val="en-GB" w:eastAsia="ja-JP"/>
        </w:rPr>
      </w:pPr>
    </w:p>
    <w:p w14:paraId="49667204" w14:textId="77777777" w:rsidR="00F270B2" w:rsidRDefault="00F270B2" w:rsidP="00F270B2">
      <w:pPr>
        <w:jc w:val="both"/>
        <w:rPr>
          <w:sz w:val="18"/>
          <w:szCs w:val="18"/>
          <w:lang w:val="en-GB" w:eastAsia="ja-JP"/>
        </w:rPr>
      </w:pPr>
      <w:proofErr w:type="spellStart"/>
      <w:r w:rsidRPr="00F270B2">
        <w:rPr>
          <w:sz w:val="18"/>
          <w:szCs w:val="18"/>
          <w:lang w:val="en-GB" w:eastAsia="ja-JP"/>
        </w:rPr>
        <w:t>Brière</w:t>
      </w:r>
      <w:proofErr w:type="spellEnd"/>
      <w:r w:rsidRPr="00F270B2">
        <w:rPr>
          <w:sz w:val="18"/>
          <w:szCs w:val="18"/>
          <w:lang w:val="en-GB" w:eastAsia="ja-JP"/>
        </w:rPr>
        <w:t xml:space="preserve">, C., &amp; </w:t>
      </w:r>
      <w:proofErr w:type="spellStart"/>
      <w:r w:rsidRPr="00F270B2">
        <w:rPr>
          <w:sz w:val="18"/>
          <w:szCs w:val="18"/>
          <w:lang w:val="en-GB" w:eastAsia="ja-JP"/>
        </w:rPr>
        <w:t>Weyembergh</w:t>
      </w:r>
      <w:proofErr w:type="spellEnd"/>
      <w:r w:rsidRPr="00F270B2">
        <w:rPr>
          <w:sz w:val="18"/>
          <w:szCs w:val="18"/>
          <w:lang w:val="en-GB" w:eastAsia="ja-JP"/>
        </w:rPr>
        <w:t>, A. (Eds.). (2018). The Needed Balances in EU Criminal Law: Past, Present and Future, Hart Publishing.</w:t>
      </w:r>
    </w:p>
    <w:p w14:paraId="38110AD5" w14:textId="77777777" w:rsidR="002047B2" w:rsidRPr="00F270B2" w:rsidRDefault="002047B2" w:rsidP="00F270B2">
      <w:pPr>
        <w:jc w:val="both"/>
        <w:rPr>
          <w:sz w:val="18"/>
          <w:szCs w:val="18"/>
          <w:lang w:val="en-GB" w:eastAsia="ja-JP"/>
        </w:rPr>
      </w:pPr>
    </w:p>
    <w:p w14:paraId="7A30D665" w14:textId="77777777" w:rsidR="00F270B2" w:rsidRDefault="00F270B2" w:rsidP="00F270B2">
      <w:pPr>
        <w:jc w:val="both"/>
        <w:rPr>
          <w:sz w:val="18"/>
          <w:szCs w:val="18"/>
          <w:lang w:val="en-GB" w:eastAsia="ja-JP"/>
        </w:rPr>
      </w:pPr>
      <w:r w:rsidRPr="00F270B2">
        <w:rPr>
          <w:sz w:val="18"/>
          <w:szCs w:val="18"/>
          <w:lang w:val="en-GB" w:eastAsia="ja-JP"/>
        </w:rPr>
        <w:t>Bunyan, T. (2012). The European Investigation Order: Abolishing traditional safeguards, Statewatch Analysis.</w:t>
      </w:r>
    </w:p>
    <w:p w14:paraId="301FF818" w14:textId="77777777" w:rsidR="002047B2" w:rsidRPr="00F270B2" w:rsidRDefault="002047B2" w:rsidP="00F270B2">
      <w:pPr>
        <w:jc w:val="both"/>
        <w:rPr>
          <w:sz w:val="18"/>
          <w:szCs w:val="18"/>
          <w:lang w:val="en-GB" w:eastAsia="ja-JP"/>
        </w:rPr>
      </w:pPr>
    </w:p>
    <w:p w14:paraId="3E9DE3D1" w14:textId="557D7A4C" w:rsidR="00F270B2" w:rsidRDefault="00F270B2" w:rsidP="00F270B2">
      <w:pPr>
        <w:jc w:val="both"/>
        <w:rPr>
          <w:sz w:val="18"/>
          <w:szCs w:val="18"/>
          <w:lang w:val="en-GB" w:eastAsia="ja-JP"/>
        </w:rPr>
      </w:pPr>
      <w:r w:rsidRPr="00F270B2">
        <w:rPr>
          <w:sz w:val="18"/>
          <w:szCs w:val="18"/>
          <w:lang w:val="en-GB" w:eastAsia="ja-JP"/>
        </w:rPr>
        <w:t>Romanian Criminal Procedure Code</w:t>
      </w:r>
      <w:r w:rsidR="002047B2">
        <w:rPr>
          <w:sz w:val="18"/>
          <w:szCs w:val="18"/>
          <w:lang w:val="en-GB" w:eastAsia="ja-JP"/>
        </w:rPr>
        <w:t>.</w:t>
      </w:r>
    </w:p>
    <w:p w14:paraId="586C6410" w14:textId="77777777" w:rsidR="002047B2" w:rsidRPr="00F270B2" w:rsidRDefault="002047B2" w:rsidP="00F270B2">
      <w:pPr>
        <w:jc w:val="both"/>
        <w:rPr>
          <w:sz w:val="18"/>
          <w:szCs w:val="18"/>
          <w:lang w:val="en-GB" w:eastAsia="ja-JP"/>
        </w:rPr>
      </w:pPr>
    </w:p>
    <w:p w14:paraId="4A399DF8" w14:textId="51479A8B" w:rsidR="00F270B2" w:rsidRDefault="00F270B2" w:rsidP="00F270B2">
      <w:pPr>
        <w:jc w:val="both"/>
        <w:rPr>
          <w:sz w:val="18"/>
          <w:szCs w:val="18"/>
          <w:lang w:val="en-GB" w:eastAsia="ja-JP"/>
        </w:rPr>
      </w:pPr>
      <w:r w:rsidRPr="00F270B2">
        <w:rPr>
          <w:sz w:val="18"/>
          <w:szCs w:val="18"/>
          <w:lang w:val="en-GB" w:eastAsia="ja-JP"/>
        </w:rPr>
        <w:t>Court of Justice of the European Union, Judgment in Case C-216/18 PPU (LM)</w:t>
      </w:r>
      <w:r w:rsidR="002047B2">
        <w:rPr>
          <w:sz w:val="18"/>
          <w:szCs w:val="18"/>
          <w:lang w:val="en-GB" w:eastAsia="ja-JP"/>
        </w:rPr>
        <w:t>.</w:t>
      </w:r>
    </w:p>
    <w:p w14:paraId="0CF0D3F0" w14:textId="77777777" w:rsidR="002047B2" w:rsidRPr="00F270B2" w:rsidRDefault="002047B2" w:rsidP="00F270B2">
      <w:pPr>
        <w:jc w:val="both"/>
        <w:rPr>
          <w:sz w:val="18"/>
          <w:szCs w:val="18"/>
          <w:lang w:val="en-GB" w:eastAsia="ja-JP"/>
        </w:rPr>
      </w:pPr>
    </w:p>
    <w:p w14:paraId="1F6E1327" w14:textId="0DFF6885" w:rsidR="00F270B2" w:rsidRDefault="00F270B2" w:rsidP="00F270B2">
      <w:pPr>
        <w:jc w:val="both"/>
        <w:rPr>
          <w:sz w:val="18"/>
          <w:szCs w:val="18"/>
          <w:lang w:val="en-GB" w:eastAsia="ja-JP"/>
        </w:rPr>
      </w:pPr>
      <w:r w:rsidRPr="00F270B2">
        <w:rPr>
          <w:sz w:val="18"/>
          <w:szCs w:val="18"/>
          <w:lang w:val="en-GB" w:eastAsia="ja-JP"/>
        </w:rPr>
        <w:t>Directive (EU) 2016/343 on the presumption of innocence</w:t>
      </w:r>
      <w:r w:rsidR="002047B2">
        <w:rPr>
          <w:sz w:val="18"/>
          <w:szCs w:val="18"/>
          <w:lang w:val="en-GB" w:eastAsia="ja-JP"/>
        </w:rPr>
        <w:t>.</w:t>
      </w:r>
    </w:p>
    <w:p w14:paraId="74505600" w14:textId="77777777" w:rsidR="002047B2" w:rsidRPr="00F270B2" w:rsidRDefault="002047B2" w:rsidP="00F270B2">
      <w:pPr>
        <w:jc w:val="both"/>
        <w:rPr>
          <w:sz w:val="18"/>
          <w:szCs w:val="18"/>
          <w:lang w:val="en-GB" w:eastAsia="ja-JP"/>
        </w:rPr>
      </w:pPr>
    </w:p>
    <w:p w14:paraId="5CE193C3" w14:textId="490031C4" w:rsidR="00F270B2" w:rsidRDefault="00F270B2" w:rsidP="00F270B2">
      <w:pPr>
        <w:jc w:val="both"/>
        <w:rPr>
          <w:sz w:val="18"/>
          <w:szCs w:val="18"/>
          <w:lang w:val="en-GB" w:eastAsia="ja-JP"/>
        </w:rPr>
      </w:pPr>
      <w:r w:rsidRPr="00F270B2">
        <w:rPr>
          <w:sz w:val="18"/>
          <w:szCs w:val="18"/>
          <w:lang w:val="en-GB" w:eastAsia="ja-JP"/>
        </w:rPr>
        <w:t>Directive (EU) 2016/800 on minors in criminal proceedings</w:t>
      </w:r>
      <w:r w:rsidR="002047B2">
        <w:rPr>
          <w:sz w:val="18"/>
          <w:szCs w:val="18"/>
          <w:lang w:val="en-GB" w:eastAsia="ja-JP"/>
        </w:rPr>
        <w:t>.</w:t>
      </w:r>
    </w:p>
    <w:p w14:paraId="4017FDB9" w14:textId="77777777" w:rsidR="002047B2" w:rsidRPr="00F270B2" w:rsidRDefault="002047B2" w:rsidP="00F270B2">
      <w:pPr>
        <w:jc w:val="both"/>
        <w:rPr>
          <w:sz w:val="18"/>
          <w:szCs w:val="18"/>
          <w:lang w:val="en-GB" w:eastAsia="ja-JP"/>
        </w:rPr>
      </w:pPr>
    </w:p>
    <w:p w14:paraId="54EE7C73" w14:textId="736D7AD8" w:rsidR="00F270B2" w:rsidRDefault="00F270B2" w:rsidP="00F270B2">
      <w:pPr>
        <w:jc w:val="both"/>
        <w:rPr>
          <w:sz w:val="18"/>
          <w:szCs w:val="18"/>
          <w:lang w:val="en-GB" w:eastAsia="ja-JP"/>
        </w:rPr>
      </w:pPr>
      <w:r w:rsidRPr="00F270B2">
        <w:rPr>
          <w:sz w:val="18"/>
          <w:szCs w:val="18"/>
          <w:lang w:val="en-GB" w:eastAsia="ja-JP"/>
        </w:rPr>
        <w:t>Directive 2010/64/EU on the right to interpretation and translation</w:t>
      </w:r>
      <w:r w:rsidR="002047B2">
        <w:rPr>
          <w:sz w:val="18"/>
          <w:szCs w:val="18"/>
          <w:lang w:val="en-GB" w:eastAsia="ja-JP"/>
        </w:rPr>
        <w:t>.</w:t>
      </w:r>
    </w:p>
    <w:p w14:paraId="2FED3032" w14:textId="77777777" w:rsidR="002047B2" w:rsidRPr="00F270B2" w:rsidRDefault="002047B2" w:rsidP="00F270B2">
      <w:pPr>
        <w:jc w:val="both"/>
        <w:rPr>
          <w:sz w:val="18"/>
          <w:szCs w:val="18"/>
          <w:lang w:val="en-GB" w:eastAsia="ja-JP"/>
        </w:rPr>
      </w:pPr>
    </w:p>
    <w:p w14:paraId="5C293519" w14:textId="395EC455" w:rsidR="00F270B2" w:rsidRDefault="00F270B2" w:rsidP="00F270B2">
      <w:pPr>
        <w:jc w:val="both"/>
        <w:rPr>
          <w:sz w:val="18"/>
          <w:szCs w:val="18"/>
          <w:lang w:val="en-GB" w:eastAsia="ja-JP"/>
        </w:rPr>
      </w:pPr>
      <w:r w:rsidRPr="00F270B2">
        <w:rPr>
          <w:sz w:val="18"/>
          <w:szCs w:val="18"/>
          <w:lang w:val="en-GB" w:eastAsia="ja-JP"/>
        </w:rPr>
        <w:t>Directive 2012/13/EU on the right to information</w:t>
      </w:r>
      <w:r w:rsidR="002047B2">
        <w:rPr>
          <w:sz w:val="18"/>
          <w:szCs w:val="18"/>
          <w:lang w:val="en-GB" w:eastAsia="ja-JP"/>
        </w:rPr>
        <w:t>.</w:t>
      </w:r>
    </w:p>
    <w:p w14:paraId="7D2D0E03" w14:textId="77777777" w:rsidR="002047B2" w:rsidRPr="00F270B2" w:rsidRDefault="002047B2" w:rsidP="00F270B2">
      <w:pPr>
        <w:jc w:val="both"/>
        <w:rPr>
          <w:sz w:val="18"/>
          <w:szCs w:val="18"/>
          <w:lang w:val="en-GB" w:eastAsia="ja-JP"/>
        </w:rPr>
      </w:pPr>
    </w:p>
    <w:p w14:paraId="33E6DA72" w14:textId="447F91AF" w:rsidR="00F270B2" w:rsidRDefault="00F270B2" w:rsidP="00F270B2">
      <w:pPr>
        <w:jc w:val="both"/>
        <w:rPr>
          <w:sz w:val="18"/>
          <w:szCs w:val="18"/>
          <w:lang w:val="en-GB" w:eastAsia="ja-JP"/>
        </w:rPr>
      </w:pPr>
      <w:r w:rsidRPr="00F270B2">
        <w:rPr>
          <w:sz w:val="18"/>
          <w:szCs w:val="18"/>
          <w:lang w:val="en-GB" w:eastAsia="ja-JP"/>
        </w:rPr>
        <w:t>Directive 2013/48/EU on the right of access to a lawyer</w:t>
      </w:r>
      <w:r w:rsidR="002047B2">
        <w:rPr>
          <w:sz w:val="18"/>
          <w:szCs w:val="18"/>
          <w:lang w:val="en-GB" w:eastAsia="ja-JP"/>
        </w:rPr>
        <w:t>.</w:t>
      </w:r>
    </w:p>
    <w:p w14:paraId="6B19EB62" w14:textId="77777777" w:rsidR="002047B2" w:rsidRPr="00F270B2" w:rsidRDefault="002047B2" w:rsidP="00F270B2">
      <w:pPr>
        <w:jc w:val="both"/>
        <w:rPr>
          <w:sz w:val="18"/>
          <w:szCs w:val="18"/>
          <w:lang w:val="en-GB" w:eastAsia="ja-JP"/>
        </w:rPr>
      </w:pPr>
    </w:p>
    <w:p w14:paraId="3A572380" w14:textId="77777777" w:rsidR="00F270B2" w:rsidRDefault="00F270B2" w:rsidP="00F270B2">
      <w:pPr>
        <w:jc w:val="both"/>
        <w:rPr>
          <w:sz w:val="18"/>
          <w:szCs w:val="18"/>
          <w:lang w:val="en-GB" w:eastAsia="ja-JP"/>
        </w:rPr>
      </w:pPr>
      <w:r w:rsidRPr="00F270B2">
        <w:rPr>
          <w:sz w:val="18"/>
          <w:szCs w:val="18"/>
          <w:lang w:val="en-GB" w:eastAsia="ja-JP"/>
        </w:rPr>
        <w:t>Douglas-Scott, S. (2011). "The European Union and Human Rights after the Treaty of Lisbon", Human Rights Law Review, Vol. 11, no. 4.</w:t>
      </w:r>
    </w:p>
    <w:p w14:paraId="1D40DB47" w14:textId="77777777" w:rsidR="002047B2" w:rsidRPr="00F270B2" w:rsidRDefault="002047B2" w:rsidP="00F270B2">
      <w:pPr>
        <w:jc w:val="both"/>
        <w:rPr>
          <w:sz w:val="18"/>
          <w:szCs w:val="18"/>
          <w:lang w:val="en-GB" w:eastAsia="ja-JP"/>
        </w:rPr>
      </w:pPr>
    </w:p>
    <w:p w14:paraId="3BF9C868" w14:textId="39F7DE3C" w:rsidR="00F270B2" w:rsidRDefault="00F270B2" w:rsidP="00F270B2">
      <w:pPr>
        <w:jc w:val="both"/>
        <w:rPr>
          <w:sz w:val="18"/>
          <w:szCs w:val="18"/>
          <w:lang w:val="en-GB" w:eastAsia="ja-JP"/>
        </w:rPr>
      </w:pPr>
      <w:r w:rsidRPr="00F270B2">
        <w:rPr>
          <w:sz w:val="18"/>
          <w:szCs w:val="18"/>
          <w:lang w:val="en-GB" w:eastAsia="ja-JP"/>
        </w:rPr>
        <w:t xml:space="preserve">European Commission, Procedural rights in criminal proceedings, </w:t>
      </w:r>
      <w:hyperlink r:id="rId8" w:history="1">
        <w:r w:rsidR="002047B2" w:rsidRPr="00AE211A">
          <w:rPr>
            <w:rStyle w:val="Hyperlink"/>
            <w:sz w:val="18"/>
            <w:szCs w:val="18"/>
            <w:lang w:val="en-GB" w:eastAsia="ja-JP"/>
          </w:rPr>
          <w:t>https://ec.europa.eu/info/law/law-topic/justice-and-fundamental-rights</w:t>
        </w:r>
      </w:hyperlink>
    </w:p>
    <w:p w14:paraId="2A24BF13" w14:textId="77777777" w:rsidR="002047B2" w:rsidRPr="00F270B2" w:rsidRDefault="002047B2" w:rsidP="00F270B2">
      <w:pPr>
        <w:jc w:val="both"/>
        <w:rPr>
          <w:sz w:val="18"/>
          <w:szCs w:val="18"/>
          <w:lang w:val="en-GB" w:eastAsia="ja-JP"/>
        </w:rPr>
      </w:pPr>
    </w:p>
    <w:p w14:paraId="788A0EA0" w14:textId="77777777" w:rsidR="00F270B2" w:rsidRDefault="00F270B2" w:rsidP="00F270B2">
      <w:pPr>
        <w:jc w:val="both"/>
        <w:rPr>
          <w:sz w:val="18"/>
          <w:szCs w:val="18"/>
          <w:lang w:val="en-GB" w:eastAsia="ja-JP"/>
        </w:rPr>
      </w:pPr>
      <w:r w:rsidRPr="00F270B2">
        <w:rPr>
          <w:sz w:val="18"/>
          <w:szCs w:val="18"/>
          <w:lang w:val="en-GB" w:eastAsia="ja-JP"/>
        </w:rPr>
        <w:t>Fair Trials International, The Road Ahead: The EU’s Agenda on Procedural Rights, 2018.</w:t>
      </w:r>
    </w:p>
    <w:p w14:paraId="3908B323" w14:textId="77777777" w:rsidR="002047B2" w:rsidRPr="00F270B2" w:rsidRDefault="002047B2" w:rsidP="00F270B2">
      <w:pPr>
        <w:jc w:val="both"/>
        <w:rPr>
          <w:sz w:val="18"/>
          <w:szCs w:val="18"/>
          <w:lang w:val="en-GB" w:eastAsia="ja-JP"/>
        </w:rPr>
      </w:pPr>
    </w:p>
    <w:p w14:paraId="63600FF3" w14:textId="1DCD0E53" w:rsidR="00F270B2" w:rsidRDefault="00F270B2" w:rsidP="00F270B2">
      <w:pPr>
        <w:jc w:val="both"/>
        <w:rPr>
          <w:sz w:val="18"/>
          <w:szCs w:val="18"/>
          <w:lang w:val="en-GB" w:eastAsia="ja-JP"/>
        </w:rPr>
      </w:pPr>
      <w:r w:rsidRPr="00F270B2">
        <w:rPr>
          <w:sz w:val="18"/>
          <w:szCs w:val="18"/>
          <w:lang w:val="en-GB" w:eastAsia="ja-JP"/>
        </w:rPr>
        <w:t>Law no. 302/2004 on international judicial cooperation in criminal matters</w:t>
      </w:r>
      <w:r w:rsidR="002047B2">
        <w:rPr>
          <w:sz w:val="18"/>
          <w:szCs w:val="18"/>
          <w:lang w:val="en-GB" w:eastAsia="ja-JP"/>
        </w:rPr>
        <w:t>.</w:t>
      </w:r>
    </w:p>
    <w:p w14:paraId="69DD0683" w14:textId="77777777" w:rsidR="002047B2" w:rsidRPr="00F270B2" w:rsidRDefault="002047B2" w:rsidP="00F270B2">
      <w:pPr>
        <w:jc w:val="both"/>
        <w:rPr>
          <w:sz w:val="18"/>
          <w:szCs w:val="18"/>
          <w:lang w:val="en-GB" w:eastAsia="ja-JP"/>
        </w:rPr>
      </w:pPr>
    </w:p>
    <w:p w14:paraId="7750D8FB" w14:textId="77777777" w:rsidR="00F270B2" w:rsidRDefault="00F270B2" w:rsidP="00F270B2">
      <w:pPr>
        <w:jc w:val="both"/>
        <w:rPr>
          <w:sz w:val="18"/>
          <w:szCs w:val="18"/>
          <w:lang w:val="en-GB" w:eastAsia="ja-JP"/>
        </w:rPr>
      </w:pPr>
      <w:r w:rsidRPr="00F270B2">
        <w:rPr>
          <w:sz w:val="18"/>
          <w:szCs w:val="18"/>
          <w:lang w:val="en-GB" w:eastAsia="ja-JP"/>
        </w:rPr>
        <w:t>Ligeti, K., &amp; Robinson, G. (2014). Transnational Evidence and Multicultural Inquiries in Europe, Springer.</w:t>
      </w:r>
    </w:p>
    <w:p w14:paraId="369FD997" w14:textId="77777777" w:rsidR="002047B2" w:rsidRPr="00F270B2" w:rsidRDefault="002047B2" w:rsidP="00F270B2">
      <w:pPr>
        <w:jc w:val="both"/>
        <w:rPr>
          <w:sz w:val="18"/>
          <w:szCs w:val="18"/>
          <w:lang w:val="en-GB" w:eastAsia="ja-JP"/>
        </w:rPr>
      </w:pPr>
    </w:p>
    <w:p w14:paraId="71BC1F4F" w14:textId="2D6B39BE" w:rsidR="001648E5" w:rsidRDefault="00F270B2" w:rsidP="00F270B2">
      <w:pPr>
        <w:jc w:val="both"/>
        <w:rPr>
          <w:sz w:val="18"/>
          <w:szCs w:val="18"/>
          <w:lang w:val="en-GB" w:eastAsia="ja-JP"/>
        </w:rPr>
      </w:pPr>
      <w:r w:rsidRPr="00F270B2">
        <w:rPr>
          <w:sz w:val="18"/>
          <w:szCs w:val="18"/>
          <w:lang w:val="en-GB" w:eastAsia="ja-JP"/>
        </w:rPr>
        <w:t>Treaty on the Functioning of the European Union (TFEU)</w:t>
      </w:r>
      <w:r w:rsidR="002047B2">
        <w:rPr>
          <w:sz w:val="18"/>
          <w:szCs w:val="18"/>
          <w:lang w:val="en-GB" w:eastAsia="ja-JP"/>
        </w:rPr>
        <w:t>.</w:t>
      </w:r>
    </w:p>
    <w:p w14:paraId="10BBB4C3" w14:textId="77777777" w:rsidR="002047B2" w:rsidRPr="001648E5" w:rsidRDefault="002047B2" w:rsidP="00F270B2">
      <w:pPr>
        <w:jc w:val="both"/>
        <w:rPr>
          <w:sz w:val="18"/>
          <w:szCs w:val="18"/>
          <w:lang w:val="en-GB" w:eastAsia="ja-JP"/>
        </w:rPr>
      </w:pPr>
    </w:p>
    <w:sectPr w:rsidR="002047B2" w:rsidRPr="001648E5" w:rsidSect="0044726B">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4C7C6" w14:textId="77777777" w:rsidR="00481284" w:rsidRDefault="00481284">
      <w:r>
        <w:separator/>
      </w:r>
    </w:p>
  </w:endnote>
  <w:endnote w:type="continuationSeparator" w:id="0">
    <w:p w14:paraId="0A0B66AB" w14:textId="77777777" w:rsidR="00481284" w:rsidRDefault="0048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DED91" w14:textId="77777777" w:rsidR="00481284" w:rsidRDefault="00481284">
      <w:r>
        <w:separator/>
      </w:r>
    </w:p>
  </w:footnote>
  <w:footnote w:type="continuationSeparator" w:id="0">
    <w:p w14:paraId="3DFB3E11" w14:textId="77777777" w:rsidR="00481284" w:rsidRDefault="00481284">
      <w:r>
        <w:continuationSeparator/>
      </w:r>
    </w:p>
  </w:footnote>
  <w:footnote w:id="1">
    <w:p w14:paraId="4CBD250A" w14:textId="7FEC58D4" w:rsidR="003E7C9C" w:rsidRPr="003E7C9C" w:rsidRDefault="003E7C9C" w:rsidP="003E7C9C">
      <w:pPr>
        <w:pStyle w:val="Frspaiere"/>
        <w:jc w:val="both"/>
        <w:rPr>
          <w:rFonts w:ascii="Times New Roman" w:hAnsi="Times New Roman" w:cs="Times New Roman"/>
          <w:sz w:val="20"/>
          <w:szCs w:val="20"/>
        </w:rPr>
      </w:pPr>
      <w:r w:rsidRPr="003E7C9C">
        <w:rPr>
          <w:rStyle w:val="Referinnotdesubsol"/>
          <w:rFonts w:ascii="Times New Roman" w:hAnsi="Times New Roman" w:cs="Times New Roman"/>
          <w:sz w:val="20"/>
          <w:szCs w:val="20"/>
        </w:rPr>
        <w:footnoteRef/>
      </w:r>
      <w:r w:rsidRPr="003E7C9C">
        <w:rPr>
          <w:rFonts w:ascii="Times New Roman" w:hAnsi="Times New Roman" w:cs="Times New Roman"/>
          <w:sz w:val="20"/>
          <w:szCs w:val="20"/>
        </w:rPr>
        <w:t xml:space="preserve"> </w:t>
      </w:r>
      <w:r w:rsidRPr="003E7C9C">
        <w:rPr>
          <w:rFonts w:ascii="Times New Roman" w:hAnsi="Times New Roman" w:cs="Times New Roman"/>
          <w:sz w:val="20"/>
          <w:szCs w:val="20"/>
        </w:rPr>
        <w:t xml:space="preserve">University assistant dr. at "Petre Andrei" University in </w:t>
      </w:r>
      <w:proofErr w:type="spellStart"/>
      <w:r w:rsidRPr="003E7C9C">
        <w:rPr>
          <w:rFonts w:ascii="Times New Roman" w:hAnsi="Times New Roman" w:cs="Times New Roman"/>
          <w:sz w:val="20"/>
          <w:szCs w:val="20"/>
        </w:rPr>
        <w:t>Iași</w:t>
      </w:r>
      <w:proofErr w:type="spellEnd"/>
      <w:r w:rsidRPr="003E7C9C">
        <w:rPr>
          <w:rFonts w:ascii="Times New Roman" w:hAnsi="Times New Roman" w:cs="Times New Roman"/>
          <w:sz w:val="20"/>
          <w:szCs w:val="20"/>
        </w:rPr>
        <w:t>, Vice-Dean at the "College of Legal Advisers Suceava" Association, general secretary of the "Order of Legal Advisers from Romania" Federation</w:t>
      </w:r>
      <w:r w:rsidRPr="003E7C9C">
        <w:rPr>
          <w:rFonts w:ascii="Times New Roman" w:hAnsi="Times New Roman" w:cs="Times New Roman"/>
          <w:sz w:val="20"/>
          <w:szCs w:val="20"/>
        </w:rPr>
        <w:t xml:space="preserve">, </w:t>
      </w:r>
      <w:r w:rsidRPr="003E7C9C">
        <w:rPr>
          <w:rFonts w:ascii="Times New Roman" w:hAnsi="Times New Roman" w:cs="Times New Roman"/>
          <w:sz w:val="20"/>
          <w:szCs w:val="20"/>
        </w:rPr>
        <w:t>telephone</w:t>
      </w:r>
      <w:r w:rsidRPr="003E7C9C">
        <w:rPr>
          <w:rFonts w:ascii="Times New Roman" w:hAnsi="Times New Roman" w:cs="Times New Roman"/>
          <w:sz w:val="20"/>
          <w:szCs w:val="20"/>
        </w:rPr>
        <w:t xml:space="preserve"> 0787.665.559, e-</w:t>
      </w:r>
      <w:r w:rsidRPr="003E7C9C">
        <w:rPr>
          <w:rFonts w:ascii="Times New Roman" w:hAnsi="Times New Roman" w:cs="Times New Roman"/>
          <w:sz w:val="20"/>
          <w:szCs w:val="20"/>
        </w:rPr>
        <w:t xml:space="preserve">mail: </w:t>
      </w:r>
      <w:hyperlink r:id="rId1" w:history="1">
        <w:r w:rsidRPr="003E7C9C">
          <w:rPr>
            <w:rStyle w:val="Hyperlink"/>
            <w:rFonts w:ascii="Times New Roman" w:hAnsi="Times New Roman" w:cs="Times New Roman"/>
            <w:sz w:val="20"/>
            <w:szCs w:val="20"/>
          </w:rPr>
          <w:t>office.corsei@yahoo.co.uk</w:t>
        </w:r>
      </w:hyperlink>
    </w:p>
    <w:p w14:paraId="0F37E2A5" w14:textId="0F42D305" w:rsidR="003E7C9C" w:rsidRPr="003E7C9C" w:rsidRDefault="003E7C9C">
      <w:pPr>
        <w:pStyle w:val="Textnotdesubsol"/>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DF444B2"/>
    <w:lvl w:ilvl="0">
      <w:start w:val="1"/>
      <w:numFmt w:val="decimal"/>
      <w:pStyle w:val="Listnumerotat"/>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672267"/>
    <w:multiLevelType w:val="hybridMultilevel"/>
    <w:tmpl w:val="11F8CA4E"/>
    <w:lvl w:ilvl="0" w:tplc="04180001">
      <w:start w:val="1"/>
      <w:numFmt w:val="bullet"/>
      <w:lvlText w:val=""/>
      <w:lvlJc w:val="left"/>
      <w:pPr>
        <w:ind w:left="770" w:hanging="360"/>
      </w:pPr>
      <w:rPr>
        <w:rFonts w:ascii="Symbol" w:hAnsi="Symbol" w:hint="default"/>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3" w15:restartNumberingAfterBreak="0">
    <w:nsid w:val="22D74388"/>
    <w:multiLevelType w:val="multilevel"/>
    <w:tmpl w:val="BF70AF80"/>
    <w:lvl w:ilvl="0">
      <w:start w:val="2"/>
      <w:numFmt w:val="decimal"/>
      <w:lvlText w:val="%1."/>
      <w:lvlJc w:val="left"/>
      <w:pPr>
        <w:ind w:left="720" w:hanging="360"/>
      </w:pPr>
      <w:rPr>
        <w:rFonts w:hint="default"/>
        <w:b/>
        <w:sz w:val="22"/>
        <w:szCs w:val="22"/>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2373DA"/>
    <w:multiLevelType w:val="hybridMultilevel"/>
    <w:tmpl w:val="7C2C3572"/>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2C5F0384"/>
    <w:multiLevelType w:val="hybridMultilevel"/>
    <w:tmpl w:val="02FA9D3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337C4B82"/>
    <w:multiLevelType w:val="hybridMultilevel"/>
    <w:tmpl w:val="E7C29F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D385EA1"/>
    <w:multiLevelType w:val="hybridMultilevel"/>
    <w:tmpl w:val="40E2950C"/>
    <w:lvl w:ilvl="0" w:tplc="EAC4E5AA">
      <w:start w:val="4"/>
      <w:numFmt w:val="bullet"/>
      <w:lvlText w:val="-"/>
      <w:lvlJc w:val="left"/>
      <w:pPr>
        <w:ind w:left="720" w:hanging="360"/>
      </w:pPr>
      <w:rPr>
        <w:rFonts w:ascii="Times New Roman" w:eastAsia="BatangChe"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59E73AF"/>
    <w:multiLevelType w:val="hybridMultilevel"/>
    <w:tmpl w:val="AC92018A"/>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0" w15:restartNumberingAfterBreak="0">
    <w:nsid w:val="51A43A55"/>
    <w:multiLevelType w:val="multilevel"/>
    <w:tmpl w:val="ACC6980E"/>
    <w:lvl w:ilvl="0">
      <w:start w:val="1"/>
      <w:numFmt w:val="decimal"/>
      <w:pStyle w:val="NIHeading1"/>
      <w:lvlText w:val="%1."/>
      <w:lvlJc w:val="left"/>
      <w:pPr>
        <w:tabs>
          <w:tab w:val="num" w:pos="360"/>
        </w:tabs>
        <w:ind w:left="284" w:hanging="284"/>
      </w:pPr>
      <w:rPr>
        <w:rFonts w:hint="default"/>
        <w:b/>
        <w:i w:val="0"/>
      </w:rPr>
    </w:lvl>
    <w:lvl w:ilvl="1">
      <w:start w:val="1"/>
      <w:numFmt w:val="decimal"/>
      <w:pStyle w:val="NIHeading2"/>
      <w:lvlText w:val="%1.%2."/>
      <w:lvlJc w:val="left"/>
      <w:pPr>
        <w:tabs>
          <w:tab w:val="num" w:pos="425"/>
        </w:tabs>
        <w:ind w:left="425" w:hanging="425"/>
      </w:pPr>
      <w:rPr>
        <w:rFonts w:hint="default"/>
        <w:b/>
        <w:i w:val="0"/>
      </w:rPr>
    </w:lvl>
    <w:lvl w:ilvl="2">
      <w:start w:val="1"/>
      <w:numFmt w:val="decimal"/>
      <w:pStyle w:val="NIHeading3"/>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7E83234"/>
    <w:multiLevelType w:val="hybridMultilevel"/>
    <w:tmpl w:val="3140C09E"/>
    <w:lvl w:ilvl="0" w:tplc="BC488566">
      <w:start w:val="1"/>
      <w:numFmt w:val="lowerLetter"/>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2" w15:restartNumberingAfterBreak="0">
    <w:nsid w:val="663141A0"/>
    <w:multiLevelType w:val="hybridMultilevel"/>
    <w:tmpl w:val="EE663C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CB121F3"/>
    <w:multiLevelType w:val="hybridMultilevel"/>
    <w:tmpl w:val="4BC065D0"/>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4" w15:restartNumberingAfterBreak="0">
    <w:nsid w:val="6E785196"/>
    <w:multiLevelType w:val="multilevel"/>
    <w:tmpl w:val="5ED8F44E"/>
    <w:lvl w:ilvl="0">
      <w:start w:val="2"/>
      <w:numFmt w:val="decimal"/>
      <w:lvlText w:val="%1."/>
      <w:lvlJc w:val="left"/>
      <w:pPr>
        <w:ind w:left="360" w:hanging="360"/>
      </w:pPr>
      <w:rPr>
        <w:rFonts w:cs="Helvetica" w:hint="default"/>
        <w:sz w:val="22"/>
      </w:rPr>
    </w:lvl>
    <w:lvl w:ilvl="1">
      <w:start w:val="3"/>
      <w:numFmt w:val="decimal"/>
      <w:lvlText w:val="%1.%2."/>
      <w:lvlJc w:val="left"/>
      <w:pPr>
        <w:ind w:left="720" w:hanging="360"/>
      </w:pPr>
      <w:rPr>
        <w:rFonts w:cs="Helvetica" w:hint="default"/>
        <w:sz w:val="22"/>
      </w:rPr>
    </w:lvl>
    <w:lvl w:ilvl="2">
      <w:start w:val="1"/>
      <w:numFmt w:val="decimal"/>
      <w:lvlText w:val="%1.%2.%3."/>
      <w:lvlJc w:val="left"/>
      <w:pPr>
        <w:ind w:left="1440" w:hanging="720"/>
      </w:pPr>
      <w:rPr>
        <w:rFonts w:cs="Helvetica" w:hint="default"/>
        <w:sz w:val="22"/>
      </w:rPr>
    </w:lvl>
    <w:lvl w:ilvl="3">
      <w:start w:val="1"/>
      <w:numFmt w:val="decimal"/>
      <w:lvlText w:val="%1.%2.%3.%4."/>
      <w:lvlJc w:val="left"/>
      <w:pPr>
        <w:ind w:left="1800" w:hanging="720"/>
      </w:pPr>
      <w:rPr>
        <w:rFonts w:cs="Helvetica" w:hint="default"/>
        <w:sz w:val="22"/>
      </w:rPr>
    </w:lvl>
    <w:lvl w:ilvl="4">
      <w:start w:val="1"/>
      <w:numFmt w:val="decimal"/>
      <w:lvlText w:val="%1.%2.%3.%4.%5."/>
      <w:lvlJc w:val="left"/>
      <w:pPr>
        <w:ind w:left="2520" w:hanging="1080"/>
      </w:pPr>
      <w:rPr>
        <w:rFonts w:cs="Helvetica" w:hint="default"/>
        <w:sz w:val="22"/>
      </w:rPr>
    </w:lvl>
    <w:lvl w:ilvl="5">
      <w:start w:val="1"/>
      <w:numFmt w:val="decimal"/>
      <w:lvlText w:val="%1.%2.%3.%4.%5.%6."/>
      <w:lvlJc w:val="left"/>
      <w:pPr>
        <w:ind w:left="2880" w:hanging="1080"/>
      </w:pPr>
      <w:rPr>
        <w:rFonts w:cs="Helvetica" w:hint="default"/>
        <w:sz w:val="22"/>
      </w:rPr>
    </w:lvl>
    <w:lvl w:ilvl="6">
      <w:start w:val="1"/>
      <w:numFmt w:val="decimal"/>
      <w:lvlText w:val="%1.%2.%3.%4.%5.%6.%7."/>
      <w:lvlJc w:val="left"/>
      <w:pPr>
        <w:ind w:left="3240" w:hanging="1080"/>
      </w:pPr>
      <w:rPr>
        <w:rFonts w:cs="Helvetica" w:hint="default"/>
        <w:sz w:val="22"/>
      </w:rPr>
    </w:lvl>
    <w:lvl w:ilvl="7">
      <w:start w:val="1"/>
      <w:numFmt w:val="decimal"/>
      <w:lvlText w:val="%1.%2.%3.%4.%5.%6.%7.%8."/>
      <w:lvlJc w:val="left"/>
      <w:pPr>
        <w:ind w:left="3960" w:hanging="1440"/>
      </w:pPr>
      <w:rPr>
        <w:rFonts w:cs="Helvetica" w:hint="default"/>
        <w:sz w:val="22"/>
      </w:rPr>
    </w:lvl>
    <w:lvl w:ilvl="8">
      <w:start w:val="1"/>
      <w:numFmt w:val="decimal"/>
      <w:lvlText w:val="%1.%2.%3.%4.%5.%6.%7.%8.%9."/>
      <w:lvlJc w:val="left"/>
      <w:pPr>
        <w:ind w:left="4320" w:hanging="1440"/>
      </w:pPr>
      <w:rPr>
        <w:rFonts w:cs="Helvetica" w:hint="default"/>
        <w:sz w:val="22"/>
      </w:rPr>
    </w:lvl>
  </w:abstractNum>
  <w:abstractNum w:abstractNumId="15" w15:restartNumberingAfterBreak="0">
    <w:nsid w:val="6EF4460E"/>
    <w:multiLevelType w:val="hybridMultilevel"/>
    <w:tmpl w:val="8D3A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C63A16"/>
    <w:multiLevelType w:val="multilevel"/>
    <w:tmpl w:val="28AA8EA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17674460">
    <w:abstractNumId w:val="0"/>
  </w:num>
  <w:num w:numId="2" w16cid:durableId="291401216">
    <w:abstractNumId w:val="7"/>
  </w:num>
  <w:num w:numId="3" w16cid:durableId="820582063">
    <w:abstractNumId w:val="16"/>
  </w:num>
  <w:num w:numId="4" w16cid:durableId="1419600983">
    <w:abstractNumId w:val="7"/>
  </w:num>
  <w:num w:numId="5" w16cid:durableId="1600020280">
    <w:abstractNumId w:val="10"/>
  </w:num>
  <w:num w:numId="6" w16cid:durableId="1355960789">
    <w:abstractNumId w:val="15"/>
  </w:num>
  <w:num w:numId="7" w16cid:durableId="701440569">
    <w:abstractNumId w:val="3"/>
  </w:num>
  <w:num w:numId="8" w16cid:durableId="18629348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9" w16cid:durableId="331612858">
    <w:abstractNumId w:val="14"/>
  </w:num>
  <w:num w:numId="10" w16cid:durableId="889224749">
    <w:abstractNumId w:val="11"/>
  </w:num>
  <w:num w:numId="11" w16cid:durableId="1846092331">
    <w:abstractNumId w:val="8"/>
  </w:num>
  <w:num w:numId="12" w16cid:durableId="466434080">
    <w:abstractNumId w:val="13"/>
  </w:num>
  <w:num w:numId="13" w16cid:durableId="870800551">
    <w:abstractNumId w:val="5"/>
  </w:num>
  <w:num w:numId="14" w16cid:durableId="643582652">
    <w:abstractNumId w:val="9"/>
  </w:num>
  <w:num w:numId="15" w16cid:durableId="1659576489">
    <w:abstractNumId w:val="4"/>
  </w:num>
  <w:num w:numId="16" w16cid:durableId="73861093">
    <w:abstractNumId w:val="2"/>
  </w:num>
  <w:num w:numId="17" w16cid:durableId="135756909">
    <w:abstractNumId w:val="6"/>
  </w:num>
  <w:num w:numId="18" w16cid:durableId="10316851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3BC"/>
    <w:rsid w:val="0002604E"/>
    <w:rsid w:val="00031388"/>
    <w:rsid w:val="00080873"/>
    <w:rsid w:val="000B1B7C"/>
    <w:rsid w:val="0014018E"/>
    <w:rsid w:val="00161B9B"/>
    <w:rsid w:val="001648E5"/>
    <w:rsid w:val="002047B2"/>
    <w:rsid w:val="002303BC"/>
    <w:rsid w:val="00243F2B"/>
    <w:rsid w:val="00294E11"/>
    <w:rsid w:val="002C282D"/>
    <w:rsid w:val="002E2D66"/>
    <w:rsid w:val="00325CE4"/>
    <w:rsid w:val="00341206"/>
    <w:rsid w:val="00352A91"/>
    <w:rsid w:val="0036706F"/>
    <w:rsid w:val="00367B71"/>
    <w:rsid w:val="003A2ECE"/>
    <w:rsid w:val="003B3429"/>
    <w:rsid w:val="003E4E3C"/>
    <w:rsid w:val="003E7C9C"/>
    <w:rsid w:val="003F68BA"/>
    <w:rsid w:val="0044726B"/>
    <w:rsid w:val="00481284"/>
    <w:rsid w:val="004C5964"/>
    <w:rsid w:val="0051693B"/>
    <w:rsid w:val="00532AF6"/>
    <w:rsid w:val="00540C63"/>
    <w:rsid w:val="005A14C3"/>
    <w:rsid w:val="005D4F30"/>
    <w:rsid w:val="00616850"/>
    <w:rsid w:val="00665DCC"/>
    <w:rsid w:val="00681DD1"/>
    <w:rsid w:val="0077745D"/>
    <w:rsid w:val="00797C0A"/>
    <w:rsid w:val="007E203D"/>
    <w:rsid w:val="00812DEA"/>
    <w:rsid w:val="00840BE4"/>
    <w:rsid w:val="0084118C"/>
    <w:rsid w:val="0084494C"/>
    <w:rsid w:val="0087712A"/>
    <w:rsid w:val="008B2CAC"/>
    <w:rsid w:val="008F3516"/>
    <w:rsid w:val="009174E6"/>
    <w:rsid w:val="009751B8"/>
    <w:rsid w:val="00A437A5"/>
    <w:rsid w:val="00AA37BB"/>
    <w:rsid w:val="00AA43D4"/>
    <w:rsid w:val="00AA6F8C"/>
    <w:rsid w:val="00AC3F7E"/>
    <w:rsid w:val="00AC79A6"/>
    <w:rsid w:val="00AD6C40"/>
    <w:rsid w:val="00AF6FDE"/>
    <w:rsid w:val="00B110B5"/>
    <w:rsid w:val="00B87798"/>
    <w:rsid w:val="00C00AA8"/>
    <w:rsid w:val="00C367DB"/>
    <w:rsid w:val="00C82C09"/>
    <w:rsid w:val="00CB48CF"/>
    <w:rsid w:val="00D11B5F"/>
    <w:rsid w:val="00D13BBA"/>
    <w:rsid w:val="00E26D84"/>
    <w:rsid w:val="00E41DB9"/>
    <w:rsid w:val="00E60B94"/>
    <w:rsid w:val="00EA24F7"/>
    <w:rsid w:val="00EF2CC8"/>
    <w:rsid w:val="00F2443F"/>
    <w:rsid w:val="00F270B2"/>
    <w:rsid w:val="00F309ED"/>
    <w:rsid w:val="00F45BA2"/>
    <w:rsid w:val="00F90ECC"/>
    <w:rsid w:val="00FA62C6"/>
    <w:rsid w:val="00FD4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C722E"/>
  <w15:docId w15:val="{132872DA-C62E-46C0-9F41-3B623085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AA5"/>
    <w:rPr>
      <w:lang w:val="el-GR" w:eastAsia="ro-RO"/>
    </w:rPr>
  </w:style>
  <w:style w:type="paragraph" w:styleId="Titlu1">
    <w:name w:val="heading 1"/>
    <w:basedOn w:val="Normal"/>
    <w:next w:val="Normal"/>
    <w:link w:val="Titlu1Caracter"/>
    <w:uiPriority w:val="9"/>
    <w:qFormat/>
    <w:rsid w:val="00EB7AA5"/>
    <w:pPr>
      <w:keepNext/>
      <w:jc w:val="both"/>
      <w:outlineLvl w:val="0"/>
    </w:pPr>
    <w:rPr>
      <w:rFonts w:eastAsia="MS Mincho"/>
      <w:b/>
      <w:sz w:val="24"/>
      <w:lang w:val="en-US" w:eastAsia="ja-JP"/>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qFormat/>
    <w:rsid w:val="00EB7AA5"/>
    <w:pPr>
      <w:jc w:val="center"/>
    </w:pPr>
    <w:rPr>
      <w:rFonts w:eastAsia="MS Mincho"/>
      <w:b/>
      <w:sz w:val="28"/>
      <w:lang w:val="en-US" w:eastAsia="ja-JP"/>
    </w:rPr>
  </w:style>
  <w:style w:type="paragraph" w:styleId="Textnotdesubsol">
    <w:name w:val="footnote text"/>
    <w:basedOn w:val="Normal"/>
    <w:link w:val="TextnotdesubsolCaracter"/>
    <w:uiPriority w:val="99"/>
    <w:semiHidden/>
    <w:rsid w:val="00EB7AA5"/>
    <w:rPr>
      <w:rFonts w:eastAsia="MS Mincho"/>
      <w:lang w:val="en-US" w:eastAsia="ja-JP"/>
    </w:rPr>
  </w:style>
  <w:style w:type="character" w:styleId="Referinnotdesubsol">
    <w:name w:val="footnote reference"/>
    <w:basedOn w:val="Fontdeparagrafimplicit"/>
    <w:uiPriority w:val="99"/>
    <w:semiHidden/>
    <w:rsid w:val="00EB7AA5"/>
    <w:rPr>
      <w:vertAlign w:val="superscript"/>
    </w:rPr>
  </w:style>
  <w:style w:type="character" w:styleId="Hyperlink">
    <w:name w:val="Hyperlink"/>
    <w:basedOn w:val="Fontdeparagrafimplicit"/>
    <w:uiPriority w:val="99"/>
    <w:rsid w:val="00EB7AA5"/>
    <w:rPr>
      <w:color w:val="0000FF"/>
      <w:u w:val="single"/>
    </w:rPr>
  </w:style>
  <w:style w:type="paragraph" w:customStyle="1" w:styleId="References">
    <w:name w:val="References"/>
    <w:basedOn w:val="Listnumerotat"/>
    <w:rsid w:val="00EB7AA5"/>
    <w:pPr>
      <w:numPr>
        <w:numId w:val="2"/>
      </w:numPr>
      <w:autoSpaceDE w:val="0"/>
      <w:autoSpaceDN w:val="0"/>
      <w:jc w:val="both"/>
    </w:pPr>
    <w:rPr>
      <w:sz w:val="16"/>
      <w:lang w:val="en-US" w:eastAsia="ja-JP"/>
    </w:rPr>
  </w:style>
  <w:style w:type="paragraph" w:customStyle="1" w:styleId="Titleofpaper">
    <w:name w:val="Title of paper"/>
    <w:basedOn w:val="Titlu"/>
    <w:rsid w:val="00EB7AA5"/>
  </w:style>
  <w:style w:type="paragraph" w:customStyle="1" w:styleId="Authors">
    <w:name w:val="Authors"/>
    <w:basedOn w:val="Normal"/>
    <w:rsid w:val="00EB7AA5"/>
    <w:pPr>
      <w:jc w:val="center"/>
    </w:pPr>
    <w:rPr>
      <w:rFonts w:eastAsia="MS Mincho"/>
      <w:sz w:val="24"/>
      <w:lang w:val="en-US" w:eastAsia="ja-JP"/>
    </w:rPr>
  </w:style>
  <w:style w:type="paragraph" w:customStyle="1" w:styleId="Address">
    <w:name w:val="Address"/>
    <w:basedOn w:val="Normal"/>
    <w:rsid w:val="00EB7AA5"/>
    <w:pPr>
      <w:jc w:val="center"/>
    </w:pPr>
    <w:rPr>
      <w:rFonts w:eastAsia="MS Mincho"/>
      <w:i/>
      <w:sz w:val="24"/>
      <w:lang w:val="en-US" w:eastAsia="ja-JP"/>
    </w:rPr>
  </w:style>
  <w:style w:type="paragraph" w:customStyle="1" w:styleId="MainBody">
    <w:name w:val="Main Body"/>
    <w:basedOn w:val="Corptext"/>
    <w:rsid w:val="00EB7AA5"/>
    <w:pPr>
      <w:spacing w:after="0"/>
      <w:jc w:val="both"/>
    </w:pPr>
    <w:rPr>
      <w:rFonts w:eastAsia="MS Mincho"/>
      <w:lang w:val="en-US" w:eastAsia="ja-JP"/>
    </w:rPr>
  </w:style>
  <w:style w:type="paragraph" w:customStyle="1" w:styleId="Abstract">
    <w:name w:val="Abstract"/>
    <w:basedOn w:val="Normal"/>
    <w:rsid w:val="00EB7AA5"/>
    <w:pPr>
      <w:ind w:left="720" w:right="720"/>
      <w:jc w:val="both"/>
    </w:pPr>
    <w:rPr>
      <w:rFonts w:eastAsia="MS Mincho"/>
      <w:sz w:val="18"/>
      <w:lang w:val="en-US" w:eastAsia="ja-JP"/>
    </w:rPr>
  </w:style>
  <w:style w:type="paragraph" w:styleId="Listnumerotat">
    <w:name w:val="List Number"/>
    <w:basedOn w:val="Normal"/>
    <w:rsid w:val="00EB7AA5"/>
    <w:pPr>
      <w:numPr>
        <w:numId w:val="1"/>
      </w:numPr>
    </w:pPr>
  </w:style>
  <w:style w:type="paragraph" w:styleId="Corptext">
    <w:name w:val="Body Text"/>
    <w:basedOn w:val="Normal"/>
    <w:rsid w:val="00EB7AA5"/>
    <w:pPr>
      <w:spacing w:after="120"/>
    </w:pPr>
  </w:style>
  <w:style w:type="paragraph" w:customStyle="1" w:styleId="NITextBody">
    <w:name w:val="NI Text Body"/>
    <w:rsid w:val="00671BC5"/>
    <w:pPr>
      <w:suppressAutoHyphens/>
      <w:spacing w:after="120"/>
      <w:jc w:val="both"/>
    </w:pPr>
    <w:rPr>
      <w:rFonts w:eastAsia="BatangChe"/>
      <w:lang w:val="en-GB" w:eastAsia="ja-JP" w:bidi="he-IL"/>
    </w:rPr>
  </w:style>
  <w:style w:type="paragraph" w:customStyle="1" w:styleId="NIHeading1">
    <w:name w:val="NI Heading 1"/>
    <w:next w:val="NITextBody"/>
    <w:rsid w:val="009B402B"/>
    <w:pPr>
      <w:keepNext/>
      <w:numPr>
        <w:numId w:val="5"/>
      </w:numPr>
      <w:suppressAutoHyphens/>
      <w:spacing w:before="240" w:after="120"/>
      <w:outlineLvl w:val="0"/>
    </w:pPr>
    <w:rPr>
      <w:rFonts w:ascii="Arial" w:eastAsia="BatangChe" w:hAnsi="Arial"/>
      <w:b/>
      <w:sz w:val="24"/>
      <w:lang w:val="en-GB" w:eastAsia="ja-JP" w:bidi="he-IL"/>
    </w:rPr>
  </w:style>
  <w:style w:type="paragraph" w:customStyle="1" w:styleId="NIHeading2">
    <w:name w:val="NI Heading 2"/>
    <w:next w:val="NITextBody"/>
    <w:rsid w:val="009B402B"/>
    <w:pPr>
      <w:keepNext/>
      <w:numPr>
        <w:ilvl w:val="1"/>
        <w:numId w:val="5"/>
      </w:numPr>
      <w:suppressAutoHyphens/>
      <w:spacing w:before="120" w:after="120"/>
      <w:outlineLvl w:val="1"/>
    </w:pPr>
    <w:rPr>
      <w:rFonts w:ascii="Arial" w:eastAsia="BatangChe" w:hAnsi="Arial"/>
      <w:b/>
      <w:sz w:val="22"/>
      <w:lang w:val="en-GB" w:eastAsia="ja-JP" w:bidi="he-IL"/>
    </w:rPr>
  </w:style>
  <w:style w:type="paragraph" w:customStyle="1" w:styleId="NIHeading3">
    <w:name w:val="NI Heading 3"/>
    <w:next w:val="NITextBody"/>
    <w:rsid w:val="009B402B"/>
    <w:pPr>
      <w:keepNext/>
      <w:numPr>
        <w:ilvl w:val="2"/>
        <w:numId w:val="5"/>
      </w:numPr>
      <w:suppressAutoHyphens/>
      <w:spacing w:before="120" w:after="120"/>
    </w:pPr>
    <w:rPr>
      <w:rFonts w:ascii="Arial" w:eastAsia="BatangChe" w:hAnsi="Arial"/>
      <w:b/>
      <w:lang w:val="en-GB" w:eastAsia="ja-JP" w:bidi="he-IL"/>
    </w:rPr>
  </w:style>
  <w:style w:type="paragraph" w:customStyle="1" w:styleId="NIEquationCaption">
    <w:name w:val="NI Equation Caption"/>
    <w:basedOn w:val="Legend"/>
    <w:rsid w:val="00724D3D"/>
    <w:pPr>
      <w:keepNext/>
      <w:wordWrap w:val="0"/>
      <w:overflowPunct w:val="0"/>
      <w:autoSpaceDE w:val="0"/>
      <w:autoSpaceDN w:val="0"/>
      <w:adjustRightInd w:val="0"/>
      <w:spacing w:before="120" w:after="120"/>
    </w:pPr>
    <w:rPr>
      <w:rFonts w:eastAsia="BatangChe"/>
      <w:bCs w:val="0"/>
      <w:lang w:val="en-GB" w:eastAsia="ko-KR" w:bidi="he-IL"/>
    </w:rPr>
  </w:style>
  <w:style w:type="paragraph" w:styleId="Legend">
    <w:name w:val="caption"/>
    <w:basedOn w:val="Normal"/>
    <w:next w:val="Normal"/>
    <w:uiPriority w:val="35"/>
    <w:qFormat/>
    <w:rsid w:val="00724D3D"/>
    <w:rPr>
      <w:b/>
      <w:bCs/>
    </w:rPr>
  </w:style>
  <w:style w:type="paragraph" w:customStyle="1" w:styleId="NIAbstractTitle">
    <w:name w:val="NI Abstract Title"/>
    <w:next w:val="Normal"/>
    <w:rsid w:val="00073962"/>
    <w:pPr>
      <w:suppressAutoHyphens/>
      <w:spacing w:before="480" w:after="120"/>
      <w:jc w:val="center"/>
    </w:pPr>
    <w:rPr>
      <w:rFonts w:ascii="Arial" w:eastAsia="BatangChe" w:hAnsi="Arial" w:cs="Arial"/>
      <w:b/>
      <w:sz w:val="22"/>
      <w:lang w:val="en-GB" w:eastAsia="ja-JP" w:bidi="he-IL"/>
    </w:rPr>
  </w:style>
  <w:style w:type="paragraph" w:customStyle="1" w:styleId="NITableCell">
    <w:name w:val="NI Table Cell"/>
    <w:next w:val="NITextBody"/>
    <w:rsid w:val="00203A58"/>
    <w:pPr>
      <w:spacing w:before="40" w:after="40"/>
    </w:pPr>
    <w:rPr>
      <w:rFonts w:ascii="MS PGothic" w:eastAsia="MS PGothic" w:cs="MS PGothic"/>
      <w:lang w:val="en-GB" w:eastAsia="ja-JP" w:bidi="he-IL"/>
    </w:rPr>
  </w:style>
  <w:style w:type="paragraph" w:customStyle="1" w:styleId="tabletitle">
    <w:name w:val="table title"/>
    <w:basedOn w:val="Normal"/>
    <w:next w:val="Normal"/>
    <w:rsid w:val="00203A58"/>
    <w:pPr>
      <w:keepNext/>
      <w:keepLines/>
      <w:spacing w:before="240" w:after="120"/>
      <w:jc w:val="both"/>
    </w:pPr>
    <w:rPr>
      <w:rFonts w:ascii="Times" w:hAnsi="Times"/>
      <w:sz w:val="18"/>
      <w:lang w:val="de-DE" w:eastAsia="de-DE"/>
    </w:rPr>
  </w:style>
  <w:style w:type="paragraph" w:customStyle="1" w:styleId="heading2">
    <w:name w:val="heading2"/>
    <w:basedOn w:val="Normal"/>
    <w:next w:val="p1a"/>
    <w:rsid w:val="00783D2D"/>
    <w:pPr>
      <w:keepNext/>
      <w:keepLines/>
      <w:tabs>
        <w:tab w:val="left" w:pos="510"/>
      </w:tabs>
      <w:suppressAutoHyphens/>
      <w:spacing w:before="440" w:after="220"/>
      <w:jc w:val="both"/>
    </w:pPr>
    <w:rPr>
      <w:rFonts w:ascii="Times" w:hAnsi="Times"/>
      <w:b/>
      <w:lang w:val="en-US" w:eastAsia="de-DE"/>
    </w:rPr>
  </w:style>
  <w:style w:type="paragraph" w:customStyle="1" w:styleId="p1a">
    <w:name w:val="p1a"/>
    <w:basedOn w:val="Normal"/>
    <w:next w:val="Normal"/>
    <w:link w:val="p1aZchn"/>
    <w:rsid w:val="00783D2D"/>
    <w:pPr>
      <w:jc w:val="both"/>
    </w:pPr>
    <w:rPr>
      <w:rFonts w:ascii="Times" w:hAnsi="Times"/>
      <w:lang w:val="en-US" w:eastAsia="de-DE"/>
    </w:rPr>
  </w:style>
  <w:style w:type="character" w:customStyle="1" w:styleId="p1aZchn">
    <w:name w:val="p1a Zchn"/>
    <w:basedOn w:val="Fontdeparagrafimplicit"/>
    <w:link w:val="p1a"/>
    <w:rsid w:val="00783D2D"/>
    <w:rPr>
      <w:rFonts w:ascii="Times" w:hAnsi="Times"/>
      <w:lang w:eastAsia="de-DE"/>
    </w:rPr>
  </w:style>
  <w:style w:type="paragraph" w:customStyle="1" w:styleId="Text">
    <w:name w:val="Text"/>
    <w:basedOn w:val="Normal"/>
    <w:rsid w:val="008048CE"/>
    <w:pPr>
      <w:widowControl w:val="0"/>
      <w:autoSpaceDE w:val="0"/>
      <w:autoSpaceDN w:val="0"/>
      <w:spacing w:line="252" w:lineRule="auto"/>
      <w:ind w:firstLine="202"/>
      <w:jc w:val="both"/>
    </w:pPr>
    <w:rPr>
      <w:lang w:val="en-US" w:eastAsia="en-US"/>
    </w:rPr>
  </w:style>
  <w:style w:type="paragraph" w:customStyle="1" w:styleId="heading3">
    <w:name w:val="heading3"/>
    <w:basedOn w:val="Normal"/>
    <w:next w:val="p1a"/>
    <w:link w:val="heading3Zchn"/>
    <w:rsid w:val="006E2AAB"/>
    <w:pPr>
      <w:keepNext/>
      <w:keepLines/>
      <w:tabs>
        <w:tab w:val="left" w:pos="284"/>
      </w:tabs>
      <w:suppressAutoHyphens/>
      <w:spacing w:before="320"/>
      <w:jc w:val="both"/>
    </w:pPr>
    <w:rPr>
      <w:rFonts w:ascii="Times" w:hAnsi="Times"/>
      <w:b/>
      <w:lang w:val="en-US" w:eastAsia="de-DE"/>
    </w:rPr>
  </w:style>
  <w:style w:type="character" w:customStyle="1" w:styleId="heading3Zchn">
    <w:name w:val="heading3 Zchn"/>
    <w:basedOn w:val="Fontdeparagrafimplicit"/>
    <w:link w:val="heading3"/>
    <w:rsid w:val="006E2AAB"/>
    <w:rPr>
      <w:rFonts w:ascii="Times" w:hAnsi="Times"/>
      <w:b/>
      <w:lang w:eastAsia="de-DE"/>
    </w:rPr>
  </w:style>
  <w:style w:type="character" w:customStyle="1" w:styleId="Titlu1Caracter">
    <w:name w:val="Titlu 1 Caracter"/>
    <w:basedOn w:val="Fontdeparagrafimplicit"/>
    <w:link w:val="Titlu1"/>
    <w:uiPriority w:val="9"/>
    <w:rsid w:val="00861517"/>
    <w:rPr>
      <w:rFonts w:eastAsia="MS Mincho"/>
      <w:b/>
      <w:sz w:val="24"/>
      <w:lang w:eastAsia="ja-JP"/>
    </w:rPr>
  </w:style>
  <w:style w:type="paragraph" w:styleId="Bibliografie">
    <w:name w:val="Bibliography"/>
    <w:basedOn w:val="Normal"/>
    <w:next w:val="Normal"/>
    <w:rsid w:val="00861517"/>
  </w:style>
  <w:style w:type="paragraph" w:styleId="TextnBalon">
    <w:name w:val="Balloon Text"/>
    <w:basedOn w:val="Normal"/>
    <w:link w:val="TextnBalonCaracter"/>
    <w:rsid w:val="00161B9B"/>
    <w:rPr>
      <w:rFonts w:ascii="Tahoma" w:hAnsi="Tahoma" w:cs="Tahoma"/>
      <w:sz w:val="16"/>
      <w:szCs w:val="16"/>
    </w:rPr>
  </w:style>
  <w:style w:type="character" w:customStyle="1" w:styleId="TextnBalonCaracter">
    <w:name w:val="Text în Balon Caracter"/>
    <w:basedOn w:val="Fontdeparagrafimplicit"/>
    <w:link w:val="TextnBalon"/>
    <w:rsid w:val="00161B9B"/>
    <w:rPr>
      <w:rFonts w:ascii="Tahoma" w:hAnsi="Tahoma" w:cs="Tahoma"/>
      <w:sz w:val="16"/>
      <w:szCs w:val="16"/>
      <w:lang w:val="el-GR" w:eastAsia="ro-RO"/>
    </w:rPr>
  </w:style>
  <w:style w:type="paragraph" w:styleId="Listparagraf">
    <w:name w:val="List Paragraph"/>
    <w:basedOn w:val="Normal"/>
    <w:uiPriority w:val="34"/>
    <w:qFormat/>
    <w:rsid w:val="00C82C09"/>
    <w:pPr>
      <w:ind w:left="720"/>
      <w:contextualSpacing/>
      <w:jc w:val="both"/>
    </w:pPr>
    <w:rPr>
      <w:rFonts w:eastAsiaTheme="minorHAnsi" w:cstheme="minorBidi"/>
      <w:sz w:val="22"/>
      <w:szCs w:val="22"/>
      <w:lang w:val="en-US" w:eastAsia="en-US"/>
    </w:rPr>
  </w:style>
  <w:style w:type="character" w:customStyle="1" w:styleId="TextnotdesubsolCaracter">
    <w:name w:val="Text notă de subsol Caracter"/>
    <w:basedOn w:val="Fontdeparagrafimplicit"/>
    <w:link w:val="Textnotdesubsol"/>
    <w:uiPriority w:val="99"/>
    <w:semiHidden/>
    <w:rsid w:val="00AD6C40"/>
    <w:rPr>
      <w:rFonts w:eastAsia="MS Mincho"/>
      <w:lang w:eastAsia="ja-JP"/>
    </w:rPr>
  </w:style>
  <w:style w:type="paragraph" w:styleId="Frspaiere">
    <w:name w:val="No Spacing"/>
    <w:uiPriority w:val="1"/>
    <w:qFormat/>
    <w:rsid w:val="002303BC"/>
    <w:rPr>
      <w:rFonts w:asciiTheme="minorHAnsi" w:eastAsiaTheme="minorHAnsi" w:hAnsiTheme="minorHAnsi" w:cstheme="minorBidi"/>
      <w:kern w:val="2"/>
      <w:sz w:val="22"/>
      <w:szCs w:val="22"/>
    </w:rPr>
  </w:style>
  <w:style w:type="character" w:styleId="MeniuneNerezolvat">
    <w:name w:val="Unresolved Mention"/>
    <w:basedOn w:val="Fontdeparagrafimplicit"/>
    <w:uiPriority w:val="99"/>
    <w:semiHidden/>
    <w:unhideWhenUsed/>
    <w:rsid w:val="00204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751984">
      <w:bodyDiv w:val="1"/>
      <w:marLeft w:val="0"/>
      <w:marRight w:val="0"/>
      <w:marTop w:val="0"/>
      <w:marBottom w:val="0"/>
      <w:divBdr>
        <w:top w:val="none" w:sz="0" w:space="0" w:color="auto"/>
        <w:left w:val="none" w:sz="0" w:space="0" w:color="auto"/>
        <w:bottom w:val="none" w:sz="0" w:space="0" w:color="auto"/>
        <w:right w:val="none" w:sz="0" w:space="0" w:color="auto"/>
      </w:divBdr>
    </w:div>
    <w:div w:id="2079588766">
      <w:bodyDiv w:val="1"/>
      <w:marLeft w:val="0"/>
      <w:marRight w:val="0"/>
      <w:marTop w:val="0"/>
      <w:marBottom w:val="0"/>
      <w:divBdr>
        <w:top w:val="none" w:sz="0" w:space="0" w:color="auto"/>
        <w:left w:val="none" w:sz="0" w:space="0" w:color="auto"/>
        <w:bottom w:val="none" w:sz="0" w:space="0" w:color="auto"/>
        <w:right w:val="none" w:sz="0" w:space="0" w:color="auto"/>
      </w:divBdr>
    </w:div>
    <w:div w:id="2092853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law-topic/justice-and-fundamental-righ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office.corsei@yahoo.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retariat\Downloads\EIRPtemplate2012%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F9FBF-BB47-4930-A89F-2EDC6C55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EIRPtemplate2012 (1)</Template>
  <TotalTime>11</TotalTime>
  <Pages>5</Pages>
  <Words>2226</Words>
  <Characters>12914</Characters>
  <Application>Microsoft Office Word</Application>
  <DocSecurity>0</DocSecurity>
  <Lines>107</Lines>
  <Paragraphs>30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Instructions for the preparation of the two-page digest</vt:lpstr>
      <vt:lpstr>Instructions for the preparation of the two-page digest</vt:lpstr>
    </vt:vector>
  </TitlesOfParts>
  <Company>NTUA</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preparation of the two-page digest</dc:title>
  <dc:creator>Secretariat</dc:creator>
  <cp:lastModifiedBy>Mariana Mariana</cp:lastModifiedBy>
  <cp:revision>22</cp:revision>
  <dcterms:created xsi:type="dcterms:W3CDTF">2025-04-13T09:50:00Z</dcterms:created>
  <dcterms:modified xsi:type="dcterms:W3CDTF">2025-04-13T10:05:00Z</dcterms:modified>
</cp:coreProperties>
</file>