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A38614" w14:textId="77777777" w:rsidR="0044726B" w:rsidRDefault="0044726B" w:rsidP="0044726B">
      <w:pPr>
        <w:pStyle w:val="Title"/>
        <w:spacing w:after="120"/>
        <w:rPr>
          <w:sz w:val="22"/>
          <w:lang w:val="en-GB"/>
        </w:rPr>
      </w:pPr>
    </w:p>
    <w:p w14:paraId="685B76EB" w14:textId="77777777" w:rsidR="00AD6C40" w:rsidRPr="00BA3371" w:rsidRDefault="00AD6C40" w:rsidP="0044726B">
      <w:pPr>
        <w:pStyle w:val="Title"/>
        <w:spacing w:after="120"/>
        <w:rPr>
          <w:sz w:val="22"/>
          <w:lang w:val="en-GB"/>
        </w:rPr>
      </w:pPr>
    </w:p>
    <w:p w14:paraId="17EE046B" w14:textId="33F9E5C4" w:rsidR="0044726B" w:rsidRPr="00BA3371" w:rsidRDefault="00C2387A" w:rsidP="0044726B">
      <w:pPr>
        <w:pStyle w:val="Titleofpaper"/>
        <w:spacing w:after="120"/>
        <w:rPr>
          <w:lang w:val="en-GB"/>
        </w:rPr>
      </w:pPr>
      <w:r w:rsidRPr="00C2387A">
        <w:rPr>
          <w:lang w:val="en"/>
        </w:rPr>
        <w:t>The private pension system in Romania</w:t>
      </w:r>
    </w:p>
    <w:p w14:paraId="212C37B1" w14:textId="77777777" w:rsidR="0044726B" w:rsidRPr="00BA3371" w:rsidRDefault="0044726B" w:rsidP="0044726B">
      <w:pPr>
        <w:pStyle w:val="Titleofpaper"/>
        <w:spacing w:after="120"/>
        <w:rPr>
          <w:sz w:val="22"/>
          <w:lang w:val="en-GB"/>
        </w:rPr>
      </w:pPr>
    </w:p>
    <w:p w14:paraId="38614B55" w14:textId="22376346" w:rsidR="0044726B" w:rsidRPr="003E4E3C" w:rsidRDefault="001008D5" w:rsidP="0044726B">
      <w:pPr>
        <w:pStyle w:val="Authors"/>
        <w:spacing w:after="120"/>
        <w:rPr>
          <w:b/>
          <w:szCs w:val="24"/>
          <w:vertAlign w:val="superscript"/>
          <w:lang w:val="en-GB"/>
        </w:rPr>
      </w:pPr>
      <w:r w:rsidRPr="007F2D46">
        <w:rPr>
          <w:b/>
          <w:iCs/>
          <w:szCs w:val="28"/>
        </w:rPr>
        <w:t>Sorin Enache</w:t>
      </w:r>
      <w:r w:rsidR="00352A91" w:rsidRPr="003E4E3C">
        <w:rPr>
          <w:rStyle w:val="FootnoteReference"/>
          <w:b/>
          <w:szCs w:val="24"/>
          <w:lang w:val="en-GB"/>
        </w:rPr>
        <w:footnoteReference w:id="1"/>
      </w:r>
      <w:r w:rsidR="0044726B" w:rsidRPr="003E4E3C">
        <w:rPr>
          <w:b/>
          <w:szCs w:val="24"/>
          <w:lang w:val="en-GB"/>
        </w:rPr>
        <w:t xml:space="preserve">, </w:t>
      </w:r>
      <w:r w:rsidR="00F5564C" w:rsidRPr="007F2D46">
        <w:rPr>
          <w:b/>
          <w:iCs/>
          <w:szCs w:val="28"/>
        </w:rPr>
        <w:t>Elena Enache</w:t>
      </w:r>
      <w:r w:rsidR="00F5564C" w:rsidRPr="003E4E3C">
        <w:rPr>
          <w:rStyle w:val="FootnoteReference"/>
          <w:b/>
          <w:szCs w:val="24"/>
          <w:lang w:val="en-GB"/>
        </w:rPr>
        <w:footnoteReference w:id="2"/>
      </w:r>
      <w:r w:rsidR="00F5564C" w:rsidRPr="003E4E3C">
        <w:rPr>
          <w:b/>
          <w:szCs w:val="24"/>
          <w:lang w:val="en-GB"/>
        </w:rPr>
        <w:t xml:space="preserve">, </w:t>
      </w:r>
      <w:r w:rsidRPr="007F2D46">
        <w:rPr>
          <w:b/>
          <w:iCs/>
          <w:szCs w:val="28"/>
        </w:rPr>
        <w:t>Cristian Morozan</w:t>
      </w:r>
      <w:r w:rsidR="00352A91" w:rsidRPr="003E4E3C">
        <w:rPr>
          <w:rStyle w:val="FootnoteReference"/>
          <w:b/>
          <w:szCs w:val="24"/>
          <w:lang w:val="en-GB"/>
        </w:rPr>
        <w:footnoteReference w:id="3"/>
      </w:r>
    </w:p>
    <w:p w14:paraId="0793C10B" w14:textId="77777777" w:rsidR="001008D5" w:rsidRDefault="001008D5" w:rsidP="001008D5">
      <w:pPr>
        <w:jc w:val="right"/>
        <w:rPr>
          <w:bCs/>
          <w:i/>
          <w:iCs/>
        </w:rPr>
      </w:pPr>
    </w:p>
    <w:p w14:paraId="3369B03B" w14:textId="77777777" w:rsidR="005C62B5" w:rsidRPr="00BA3371" w:rsidRDefault="005C62B5" w:rsidP="005C62B5">
      <w:pPr>
        <w:pStyle w:val="Abstract"/>
        <w:spacing w:after="120"/>
        <w:ind w:right="0"/>
        <w:jc w:val="right"/>
        <w:rPr>
          <w:sz w:val="22"/>
          <w:vertAlign w:val="superscript"/>
          <w:lang w:val="en-GB"/>
        </w:rPr>
      </w:pPr>
    </w:p>
    <w:p w14:paraId="1D3B6C06" w14:textId="4590819D" w:rsidR="00EE4741" w:rsidRPr="00EE4741" w:rsidRDefault="0044726B" w:rsidP="00EE4741">
      <w:pPr>
        <w:pStyle w:val="Abstract"/>
        <w:spacing w:after="120"/>
        <w:ind w:left="567" w:right="567"/>
      </w:pPr>
      <w:r w:rsidRPr="00840BE4">
        <w:rPr>
          <w:b/>
          <w:szCs w:val="18"/>
          <w:lang w:val="en-GB"/>
        </w:rPr>
        <w:t>Abstract</w:t>
      </w:r>
      <w:r w:rsidR="00AC3F7E" w:rsidRPr="00EE4741">
        <w:rPr>
          <w:b/>
          <w:szCs w:val="18"/>
          <w:lang w:val="en-GB"/>
        </w:rPr>
        <w:t>:</w:t>
      </w:r>
      <w:r w:rsidRPr="00EE4741">
        <w:rPr>
          <w:b/>
          <w:szCs w:val="18"/>
          <w:lang w:val="en-GB"/>
        </w:rPr>
        <w:t xml:space="preserve"> </w:t>
      </w:r>
      <w:bookmarkStart w:id="0" w:name="_Hlk194954812"/>
      <w:r w:rsidR="00EE4741" w:rsidRPr="003446F4">
        <w:rPr>
          <w:lang w:val="en-GB"/>
        </w:rPr>
        <w:t xml:space="preserve">The aging of the European population has become a growing concern for the governments of the EU member states, especially when it comes to pensions, as the number of citizens receiving pensions is growing faster than the active population. This situation </w:t>
      </w:r>
      <w:r w:rsidR="00EE4741" w:rsidRPr="00EE4741">
        <w:rPr>
          <w:lang w:val="en-GB"/>
        </w:rPr>
        <w:t>involves</w:t>
      </w:r>
      <w:r w:rsidR="00EE4741" w:rsidRPr="003446F4">
        <w:rPr>
          <w:lang w:val="en-GB"/>
        </w:rPr>
        <w:t xml:space="preserve"> major pressure on public finances and pension funds. This paper aims to highlight the situation of pension funds in our country, in a European context, the measures that have been taken and what can be done to make private pension systems even more attractive. The paper is based on recent studies conducted by specialized institutions on </w:t>
      </w:r>
      <w:r w:rsidR="007772EF" w:rsidRPr="003446F4">
        <w:rPr>
          <w:lang w:val="en-GB"/>
        </w:rPr>
        <w:t xml:space="preserve">internationally </w:t>
      </w:r>
      <w:r w:rsidR="00EE4741" w:rsidRPr="003446F4">
        <w:rPr>
          <w:lang w:val="en-GB"/>
        </w:rPr>
        <w:t>pension systems and in our country. This research aims to highlight the common elements, but also the differences between the ways of approaching this problem in different countries, compared to what is happening domestically. It is also insisted that several directions of action are required to ensure the sustainability of the pension system in Romania, by increasing the birth rate, encouraging savings, granting facilities to contributors etc.</w:t>
      </w:r>
      <w:bookmarkEnd w:id="0"/>
    </w:p>
    <w:p w14:paraId="5EFBCE2B" w14:textId="66ED6390" w:rsidR="0044726B" w:rsidRDefault="0044726B" w:rsidP="00EE4741">
      <w:pPr>
        <w:pStyle w:val="Abstract"/>
        <w:spacing w:after="120"/>
        <w:ind w:left="567" w:right="567"/>
        <w:rPr>
          <w:iCs/>
        </w:rPr>
      </w:pPr>
      <w:r w:rsidRPr="006645BC">
        <w:rPr>
          <w:b/>
          <w:bCs/>
          <w:iCs/>
        </w:rPr>
        <w:t>Keywords:</w:t>
      </w:r>
      <w:r w:rsidR="001008D5" w:rsidRPr="001008D5">
        <w:t xml:space="preserve"> </w:t>
      </w:r>
      <w:r w:rsidR="00C2387A">
        <w:t>aging of population</w:t>
      </w:r>
      <w:r w:rsidR="001008D5" w:rsidRPr="001008D5">
        <w:t xml:space="preserve">, </w:t>
      </w:r>
      <w:r w:rsidR="00C2387A">
        <w:t>government</w:t>
      </w:r>
      <w:r w:rsidR="001008D5" w:rsidRPr="001008D5">
        <w:t xml:space="preserve">, </w:t>
      </w:r>
      <w:r w:rsidR="00C2387A">
        <w:t>contributors</w:t>
      </w:r>
      <w:r w:rsidR="001008D5">
        <w:t xml:space="preserve">, </w:t>
      </w:r>
      <w:r w:rsidR="007D1FB3">
        <w:t>public debt</w:t>
      </w:r>
      <w:r w:rsidR="0097022F">
        <w:t>, investment</w:t>
      </w:r>
      <w:r w:rsidR="007D1FB3">
        <w:t xml:space="preserve"> </w:t>
      </w:r>
    </w:p>
    <w:p w14:paraId="7D213CBB" w14:textId="60BCF8C1" w:rsidR="00AC3F7E" w:rsidRPr="00840BE4" w:rsidRDefault="00AC3F7E" w:rsidP="0044726B">
      <w:pPr>
        <w:pStyle w:val="Abstract"/>
        <w:spacing w:after="120"/>
        <w:ind w:left="567" w:right="567"/>
      </w:pPr>
      <w:r>
        <w:rPr>
          <w:b/>
          <w:bCs/>
          <w:iCs/>
        </w:rPr>
        <w:t>JEL Classification:</w:t>
      </w:r>
      <w:r>
        <w:t xml:space="preserve"> </w:t>
      </w:r>
      <w:r w:rsidR="005D6311">
        <w:t>H</w:t>
      </w:r>
      <w:r w:rsidR="004E3FDE">
        <w:t>7</w:t>
      </w:r>
      <w:r w:rsidR="005D6311">
        <w:t xml:space="preserve">5, </w:t>
      </w:r>
      <w:r w:rsidR="00C667DD">
        <w:rPr>
          <w:iCs/>
        </w:rPr>
        <w:t>J32</w:t>
      </w:r>
    </w:p>
    <w:p w14:paraId="7F23CE76" w14:textId="77777777" w:rsidR="001008D5" w:rsidRDefault="001008D5" w:rsidP="001008D5">
      <w:pPr>
        <w:jc w:val="right"/>
        <w:rPr>
          <w:bCs/>
          <w:i/>
          <w:iCs/>
        </w:rPr>
      </w:pPr>
    </w:p>
    <w:p w14:paraId="1BB480E0" w14:textId="54F05FC9" w:rsidR="0044726B" w:rsidRPr="00F85109" w:rsidRDefault="0044726B" w:rsidP="0044726B">
      <w:pPr>
        <w:pStyle w:val="NITextBody"/>
        <w:rPr>
          <w:b/>
          <w:sz w:val="24"/>
        </w:rPr>
      </w:pPr>
      <w:r w:rsidRPr="00F85109">
        <w:rPr>
          <w:b/>
          <w:sz w:val="24"/>
        </w:rPr>
        <w:t>1</w:t>
      </w:r>
      <w:r w:rsidRPr="00F85109">
        <w:rPr>
          <w:b/>
          <w:sz w:val="24"/>
        </w:rPr>
        <w:tab/>
      </w:r>
      <w:r w:rsidR="0093590F" w:rsidRPr="0093590F">
        <w:rPr>
          <w:b/>
          <w:sz w:val="24"/>
          <w:lang w:val="el-GR"/>
        </w:rPr>
        <w:t>National and European context</w:t>
      </w:r>
    </w:p>
    <w:p w14:paraId="46292317" w14:textId="77777777" w:rsidR="0093590F" w:rsidRPr="0093590F" w:rsidRDefault="0093590F" w:rsidP="0093590F">
      <w:pPr>
        <w:spacing w:after="120"/>
        <w:jc w:val="both"/>
        <w:rPr>
          <w:sz w:val="22"/>
          <w:szCs w:val="22"/>
          <w:lang w:val="en"/>
        </w:rPr>
      </w:pPr>
      <w:r w:rsidRPr="0093590F">
        <w:rPr>
          <w:sz w:val="22"/>
          <w:szCs w:val="22"/>
          <w:lang w:val="en"/>
        </w:rPr>
        <w:t>The reality that we have been facing for several years now and that we refuse to perceive in its true dimension is that the population is aging, the fertility rate is decreasing, and the active population, the one on the labor market, is decreasing significantly.</w:t>
      </w:r>
    </w:p>
    <w:p w14:paraId="33340DB0" w14:textId="77777777" w:rsidR="0093590F" w:rsidRPr="0093590F" w:rsidRDefault="0093590F" w:rsidP="0093590F">
      <w:pPr>
        <w:spacing w:after="120"/>
        <w:jc w:val="both"/>
        <w:rPr>
          <w:sz w:val="22"/>
          <w:szCs w:val="22"/>
          <w:lang w:val="en"/>
        </w:rPr>
      </w:pPr>
      <w:r w:rsidRPr="0093590F">
        <w:rPr>
          <w:sz w:val="22"/>
          <w:szCs w:val="22"/>
          <w:lang w:val="en"/>
        </w:rPr>
        <w:t xml:space="preserve">Population aging is a global phenomenon, with the exception of some underdeveloped countries, especially in Africa. But the aging of the European population has become a growing concern for the governments of the community states, especially when it comes to pensions. </w:t>
      </w:r>
    </w:p>
    <w:p w14:paraId="6EFDEBBB" w14:textId="1435A122" w:rsidR="0093590F" w:rsidRPr="0093590F" w:rsidRDefault="0093590F" w:rsidP="0093590F">
      <w:pPr>
        <w:spacing w:after="120"/>
        <w:jc w:val="both"/>
        <w:rPr>
          <w:sz w:val="22"/>
          <w:szCs w:val="22"/>
          <w:lang w:val="ro-RO"/>
        </w:rPr>
      </w:pPr>
      <w:r w:rsidRPr="0093590F">
        <w:rPr>
          <w:sz w:val="22"/>
          <w:szCs w:val="22"/>
          <w:lang w:val="en"/>
        </w:rPr>
        <w:t>The number of citizens receiving pensions is growing faster than the active population. This situation is putting major pressure on public finances and pension funds. It is predicted that the dependency rate of elderly people (people aged 65 and over in relation to those aged 15-64) will increase to 50.1% in 2060, compared to 27.8% in 2014</w:t>
      </w:r>
      <w:r w:rsidR="00C1301F" w:rsidRPr="005920E3">
        <w:rPr>
          <w:sz w:val="22"/>
          <w:szCs w:val="22"/>
          <w:lang w:val="en"/>
        </w:rPr>
        <w:t xml:space="preserve"> (</w:t>
      </w:r>
      <w:r w:rsidR="00C1301F" w:rsidRPr="005920E3">
        <w:rPr>
          <w:sz w:val="22"/>
          <w:szCs w:val="22"/>
        </w:rPr>
        <w:t xml:space="preserve">Van Meerten </w:t>
      </w:r>
      <w:r w:rsidR="00C1301F" w:rsidRPr="005920E3">
        <w:rPr>
          <w:sz w:val="22"/>
          <w:szCs w:val="22"/>
          <w:lang w:val="ro-RO"/>
        </w:rPr>
        <w:t xml:space="preserve">&amp; </w:t>
      </w:r>
      <w:r w:rsidR="00C1301F" w:rsidRPr="005920E3">
        <w:rPr>
          <w:sz w:val="22"/>
          <w:szCs w:val="22"/>
        </w:rPr>
        <w:t>Van Zanden</w:t>
      </w:r>
      <w:r w:rsidR="00C1301F" w:rsidRPr="005920E3">
        <w:rPr>
          <w:sz w:val="22"/>
          <w:szCs w:val="22"/>
          <w:lang w:val="ro-RO"/>
        </w:rPr>
        <w:t>, p. 66)</w:t>
      </w:r>
      <w:r w:rsidRPr="0093590F">
        <w:rPr>
          <w:sz w:val="22"/>
          <w:szCs w:val="22"/>
          <w:lang w:val="en"/>
        </w:rPr>
        <w:t>.</w:t>
      </w:r>
    </w:p>
    <w:p w14:paraId="7699C209" w14:textId="2A3F4B48" w:rsidR="0093590F" w:rsidRPr="0093590F" w:rsidRDefault="0093590F" w:rsidP="0093590F">
      <w:pPr>
        <w:spacing w:after="120"/>
        <w:jc w:val="both"/>
        <w:rPr>
          <w:sz w:val="22"/>
          <w:szCs w:val="22"/>
          <w:lang w:val="ro-RO"/>
        </w:rPr>
      </w:pPr>
      <w:r w:rsidRPr="005920E3">
        <w:rPr>
          <w:sz w:val="22"/>
          <w:szCs w:val="22"/>
          <w:lang w:val="en"/>
        </w:rPr>
        <w:t>T</w:t>
      </w:r>
      <w:r w:rsidRPr="0093590F">
        <w:rPr>
          <w:sz w:val="22"/>
          <w:szCs w:val="22"/>
          <w:lang w:val="en"/>
        </w:rPr>
        <w:t>he process of population ageing is taking place at different speeds in different parts of the world, but it affects almost every country. The impact of demographic changes on the age structure and size of populations is overwhelming. According to forecasts from statistical data, the average age of the population is expected to increase by eight years by 2050 in Japan, from 41 years in 2000 to 49 years in 2050. In Italy, the average age is expected to reach 53 years in 2050, and the proportion of people over 65 is expected to be more than 35%. In addition to the ageing process, countries will also experience a decline in their population. The European Union as a whole will lose 10% of its population by 2050. Italy, a country that now has almost 57 million inhabitants, will have a population of just 41 million in 2050. Germany's population, which is now 82 million, is expected to fall to 70 million by 2050</w:t>
      </w:r>
      <w:r w:rsidR="00685647" w:rsidRPr="005920E3">
        <w:rPr>
          <w:sz w:val="22"/>
          <w:szCs w:val="22"/>
          <w:lang w:val="en"/>
        </w:rPr>
        <w:t xml:space="preserve"> (</w:t>
      </w:r>
      <w:r w:rsidR="00685647" w:rsidRPr="005920E3">
        <w:rPr>
          <w:sz w:val="22"/>
          <w:szCs w:val="22"/>
        </w:rPr>
        <w:t>Bonoli</w:t>
      </w:r>
      <w:r w:rsidR="005920E3" w:rsidRPr="005920E3">
        <w:rPr>
          <w:sz w:val="22"/>
          <w:szCs w:val="22"/>
          <w:lang w:val="ro-RO"/>
        </w:rPr>
        <w:t xml:space="preserve"> &amp; </w:t>
      </w:r>
      <w:r w:rsidR="00685647" w:rsidRPr="005920E3">
        <w:rPr>
          <w:sz w:val="22"/>
          <w:szCs w:val="22"/>
        </w:rPr>
        <w:t>Shinkawa</w:t>
      </w:r>
      <w:r w:rsidR="005920E3" w:rsidRPr="005920E3">
        <w:rPr>
          <w:sz w:val="22"/>
          <w:szCs w:val="22"/>
          <w:lang w:val="ro-RO"/>
        </w:rPr>
        <w:t>, 2005, p. 1)</w:t>
      </w:r>
      <w:r w:rsidRPr="0093590F">
        <w:rPr>
          <w:sz w:val="22"/>
          <w:szCs w:val="22"/>
          <w:lang w:val="en"/>
        </w:rPr>
        <w:t>.</w:t>
      </w:r>
    </w:p>
    <w:p w14:paraId="667960F6" w14:textId="5A358B7A" w:rsidR="0093590F" w:rsidRPr="0093590F" w:rsidRDefault="0093590F" w:rsidP="0093590F">
      <w:pPr>
        <w:spacing w:after="120"/>
        <w:jc w:val="both"/>
        <w:rPr>
          <w:sz w:val="22"/>
          <w:szCs w:val="22"/>
          <w:lang w:val="en"/>
        </w:rPr>
      </w:pPr>
      <w:r w:rsidRPr="0093590F">
        <w:rPr>
          <w:sz w:val="22"/>
          <w:szCs w:val="22"/>
          <w:lang w:val="en"/>
        </w:rPr>
        <w:t xml:space="preserve">In many countries, the pension system is still public. These systems pay </w:t>
      </w:r>
      <w:r w:rsidR="00C61045">
        <w:rPr>
          <w:sz w:val="22"/>
          <w:szCs w:val="22"/>
          <w:lang w:val="en"/>
        </w:rPr>
        <w:t>“</w:t>
      </w:r>
      <w:r w:rsidRPr="0093590F">
        <w:rPr>
          <w:sz w:val="22"/>
          <w:szCs w:val="22"/>
          <w:lang w:val="en"/>
        </w:rPr>
        <w:t xml:space="preserve">defined benefits” based on a formula designed to take into account the earnings of the worker, the years of work, and they are financed through Pay-As-You-Go contributions. The contributions of today’s workers are used to pay </w:t>
      </w:r>
      <w:r w:rsidRPr="0093590F">
        <w:rPr>
          <w:sz w:val="22"/>
          <w:szCs w:val="22"/>
          <w:lang w:val="en"/>
        </w:rPr>
        <w:lastRenderedPageBreak/>
        <w:t xml:space="preserve">the pensions of those who are no longer active. This model, although it has worked for a long time and is the most common, puts a heavy burden on the system and society. </w:t>
      </w:r>
    </w:p>
    <w:p w14:paraId="59899EFF" w14:textId="77777777" w:rsidR="0093590F" w:rsidRPr="0093590F" w:rsidRDefault="0093590F" w:rsidP="0093590F">
      <w:pPr>
        <w:spacing w:after="120"/>
        <w:jc w:val="both"/>
        <w:rPr>
          <w:sz w:val="22"/>
          <w:szCs w:val="22"/>
          <w:lang w:val="ro-RO"/>
        </w:rPr>
      </w:pPr>
      <w:r w:rsidRPr="0093590F">
        <w:rPr>
          <w:sz w:val="22"/>
          <w:szCs w:val="22"/>
          <w:lang w:val="en"/>
        </w:rPr>
        <w:t>Among the problems generated are:</w:t>
      </w:r>
    </w:p>
    <w:p w14:paraId="5BA38327" w14:textId="5845708A" w:rsidR="0093590F" w:rsidRPr="0093590F" w:rsidRDefault="0093590F" w:rsidP="0093590F">
      <w:pPr>
        <w:spacing w:after="120"/>
        <w:jc w:val="both"/>
        <w:rPr>
          <w:sz w:val="22"/>
          <w:szCs w:val="22"/>
          <w:lang w:val="en"/>
        </w:rPr>
      </w:pPr>
      <w:r w:rsidRPr="0093590F">
        <w:rPr>
          <w:sz w:val="22"/>
          <w:szCs w:val="22"/>
          <w:lang w:val="en"/>
        </w:rPr>
        <w:t xml:space="preserve">- </w:t>
      </w:r>
      <w:r w:rsidR="00184FB7">
        <w:rPr>
          <w:sz w:val="22"/>
          <w:szCs w:val="22"/>
          <w:lang w:val="en"/>
        </w:rPr>
        <w:t>a</w:t>
      </w:r>
      <w:r w:rsidRPr="0093590F">
        <w:rPr>
          <w:sz w:val="22"/>
          <w:szCs w:val="22"/>
          <w:lang w:val="en"/>
        </w:rPr>
        <w:t xml:space="preserve">s the population ages, contributors' </w:t>
      </w:r>
      <w:r w:rsidR="00953A60">
        <w:rPr>
          <w:sz w:val="22"/>
          <w:szCs w:val="22"/>
          <w:lang w:val="en"/>
        </w:rPr>
        <w:t>money values</w:t>
      </w:r>
      <w:r w:rsidRPr="0093590F">
        <w:rPr>
          <w:sz w:val="22"/>
          <w:szCs w:val="22"/>
          <w:lang w:val="en"/>
        </w:rPr>
        <w:t xml:space="preserve"> are increasing; unemployment is also increasing;</w:t>
      </w:r>
    </w:p>
    <w:p w14:paraId="2AEB4F01" w14:textId="13B310B7" w:rsidR="0093590F" w:rsidRPr="0093590F" w:rsidRDefault="0093590F" w:rsidP="0093590F">
      <w:pPr>
        <w:spacing w:after="120"/>
        <w:jc w:val="both"/>
        <w:rPr>
          <w:sz w:val="22"/>
          <w:szCs w:val="22"/>
          <w:lang w:val="en"/>
        </w:rPr>
      </w:pPr>
      <w:r w:rsidRPr="0093590F">
        <w:rPr>
          <w:sz w:val="22"/>
          <w:szCs w:val="22"/>
          <w:lang w:val="en"/>
        </w:rPr>
        <w:t xml:space="preserve">- </w:t>
      </w:r>
      <w:r w:rsidR="00184FB7">
        <w:rPr>
          <w:sz w:val="22"/>
          <w:szCs w:val="22"/>
          <w:lang w:val="en"/>
        </w:rPr>
        <w:t>i</w:t>
      </w:r>
      <w:r w:rsidRPr="0093590F">
        <w:rPr>
          <w:sz w:val="22"/>
          <w:szCs w:val="22"/>
          <w:lang w:val="en"/>
        </w:rPr>
        <w:t>n companies with low productivity, the level of evasion is increasing;</w:t>
      </w:r>
    </w:p>
    <w:p w14:paraId="2042990E" w14:textId="1F83199C" w:rsidR="0093590F" w:rsidRPr="0093590F" w:rsidRDefault="0093590F" w:rsidP="0093590F">
      <w:pPr>
        <w:spacing w:after="120"/>
        <w:jc w:val="both"/>
        <w:rPr>
          <w:sz w:val="22"/>
          <w:szCs w:val="22"/>
          <w:lang w:val="en"/>
        </w:rPr>
      </w:pPr>
      <w:r w:rsidRPr="0093590F">
        <w:rPr>
          <w:sz w:val="22"/>
          <w:szCs w:val="22"/>
          <w:lang w:val="en"/>
        </w:rPr>
        <w:t xml:space="preserve">- </w:t>
      </w:r>
      <w:r w:rsidR="002F5A1D">
        <w:rPr>
          <w:sz w:val="22"/>
          <w:szCs w:val="22"/>
          <w:lang w:val="en"/>
        </w:rPr>
        <w:t>t</w:t>
      </w:r>
      <w:r w:rsidRPr="0093590F">
        <w:rPr>
          <w:sz w:val="22"/>
          <w:szCs w:val="22"/>
          <w:lang w:val="en"/>
        </w:rPr>
        <w:t>he number of employees who retire early is increasing, thus decreasing the number of experienced human resources;</w:t>
      </w:r>
    </w:p>
    <w:p w14:paraId="35F670B3" w14:textId="1D7FBE6E" w:rsidR="0093590F" w:rsidRPr="0093590F" w:rsidRDefault="0093590F" w:rsidP="0093590F">
      <w:pPr>
        <w:spacing w:after="120"/>
        <w:jc w:val="both"/>
        <w:rPr>
          <w:sz w:val="22"/>
          <w:szCs w:val="22"/>
          <w:lang w:val="en"/>
        </w:rPr>
      </w:pPr>
      <w:r w:rsidRPr="0093590F">
        <w:rPr>
          <w:sz w:val="22"/>
          <w:szCs w:val="22"/>
          <w:lang w:val="en"/>
        </w:rPr>
        <w:t xml:space="preserve">- </w:t>
      </w:r>
      <w:r w:rsidR="00815304">
        <w:rPr>
          <w:sz w:val="22"/>
          <w:szCs w:val="22"/>
          <w:lang w:val="en"/>
        </w:rPr>
        <w:t>t</w:t>
      </w:r>
      <w:r w:rsidRPr="0093590F">
        <w:rPr>
          <w:sz w:val="22"/>
          <w:szCs w:val="22"/>
          <w:lang w:val="en"/>
        </w:rPr>
        <w:t>he financing of public resources is increasing at the expense of allocating financial resources for infrastructure development, education and health;</w:t>
      </w:r>
    </w:p>
    <w:p w14:paraId="4A4E48DC" w14:textId="526644E9" w:rsidR="0093590F" w:rsidRPr="0093590F" w:rsidRDefault="0093590F" w:rsidP="0093590F">
      <w:pPr>
        <w:spacing w:after="120"/>
        <w:jc w:val="both"/>
        <w:rPr>
          <w:sz w:val="22"/>
          <w:szCs w:val="22"/>
          <w:lang w:val="en"/>
        </w:rPr>
      </w:pPr>
      <w:r w:rsidRPr="0093590F">
        <w:rPr>
          <w:sz w:val="22"/>
          <w:szCs w:val="22"/>
          <w:lang w:val="en"/>
        </w:rPr>
        <w:t xml:space="preserve">- </w:t>
      </w:r>
      <w:r w:rsidR="004647FF">
        <w:rPr>
          <w:sz w:val="22"/>
          <w:szCs w:val="22"/>
          <w:lang w:val="en"/>
        </w:rPr>
        <w:t>a</w:t>
      </w:r>
      <w:r w:rsidRPr="0093590F">
        <w:rPr>
          <w:sz w:val="22"/>
          <w:szCs w:val="22"/>
          <w:lang w:val="en"/>
        </w:rPr>
        <w:t>n insufficient redistribution of funds is created for low-income workers;</w:t>
      </w:r>
    </w:p>
    <w:p w14:paraId="384E04DA" w14:textId="08C03A8A" w:rsidR="0093590F" w:rsidRPr="008D4C03" w:rsidRDefault="0093590F" w:rsidP="0093590F">
      <w:pPr>
        <w:spacing w:after="120"/>
        <w:jc w:val="both"/>
        <w:rPr>
          <w:sz w:val="22"/>
          <w:szCs w:val="22"/>
          <w:lang w:val="en"/>
        </w:rPr>
      </w:pPr>
      <w:r w:rsidRPr="0093590F">
        <w:rPr>
          <w:sz w:val="22"/>
          <w:szCs w:val="22"/>
          <w:lang w:val="en"/>
        </w:rPr>
        <w:t xml:space="preserve">- </w:t>
      </w:r>
      <w:r w:rsidR="009E0F7B">
        <w:rPr>
          <w:sz w:val="22"/>
          <w:szCs w:val="22"/>
          <w:lang w:val="en"/>
        </w:rPr>
        <w:t>a</w:t>
      </w:r>
      <w:r w:rsidRPr="0093590F">
        <w:rPr>
          <w:sz w:val="22"/>
          <w:szCs w:val="22"/>
          <w:lang w:val="en"/>
        </w:rPr>
        <w:t>n imbalance in the system is created and a debt and burden for the younger and future generations is created</w:t>
      </w:r>
      <w:r w:rsidR="00685476" w:rsidRPr="008D4C03">
        <w:rPr>
          <w:sz w:val="22"/>
          <w:szCs w:val="22"/>
          <w:lang w:val="en"/>
        </w:rPr>
        <w:t xml:space="preserve"> (</w:t>
      </w:r>
      <w:r w:rsidR="00685476" w:rsidRPr="008D4C03">
        <w:rPr>
          <w:sz w:val="22"/>
          <w:szCs w:val="22"/>
        </w:rPr>
        <w:t>Dobrescu</w:t>
      </w:r>
      <w:r w:rsidR="00685476" w:rsidRPr="008D4C03">
        <w:rPr>
          <w:sz w:val="22"/>
          <w:szCs w:val="22"/>
          <w:lang w:val="ro-RO"/>
        </w:rPr>
        <w:t xml:space="preserve"> &amp;</w:t>
      </w:r>
      <w:r w:rsidR="00685476" w:rsidRPr="008D4C03">
        <w:rPr>
          <w:sz w:val="22"/>
          <w:szCs w:val="22"/>
        </w:rPr>
        <w:t xml:space="preserve"> Șeitan</w:t>
      </w:r>
      <w:r w:rsidR="00685476" w:rsidRPr="008D4C03">
        <w:rPr>
          <w:sz w:val="22"/>
          <w:szCs w:val="22"/>
          <w:lang w:val="ro-RO"/>
        </w:rPr>
        <w:t>, 2005, p. 13)</w:t>
      </w:r>
      <w:r w:rsidRPr="008D4C03">
        <w:rPr>
          <w:sz w:val="22"/>
          <w:szCs w:val="22"/>
          <w:lang w:val="en"/>
        </w:rPr>
        <w:t>.</w:t>
      </w:r>
    </w:p>
    <w:p w14:paraId="232D3409" w14:textId="72975568" w:rsidR="0093590F" w:rsidRDefault="0093590F" w:rsidP="0093590F">
      <w:pPr>
        <w:spacing w:after="120"/>
        <w:jc w:val="both"/>
        <w:rPr>
          <w:sz w:val="22"/>
          <w:szCs w:val="22"/>
          <w:lang w:val="en"/>
        </w:rPr>
      </w:pPr>
      <w:r w:rsidRPr="0093590F">
        <w:rPr>
          <w:sz w:val="22"/>
          <w:szCs w:val="22"/>
          <w:lang w:val="en"/>
        </w:rPr>
        <w:t xml:space="preserve">Researchers from CFA Society Romania presented an extremely useful and relevant indicator: </w:t>
      </w:r>
      <w:r w:rsidRPr="0093590F">
        <w:rPr>
          <w:b/>
          <w:bCs/>
          <w:i/>
          <w:iCs/>
          <w:sz w:val="22"/>
          <w:szCs w:val="22"/>
          <w:lang w:val="en"/>
        </w:rPr>
        <w:t>the implicit public debt with state pensions</w:t>
      </w:r>
      <w:r w:rsidRPr="0093590F">
        <w:rPr>
          <w:sz w:val="22"/>
          <w:szCs w:val="22"/>
          <w:lang w:val="en"/>
        </w:rPr>
        <w:t>, which means the state's obligations with the pension rights accumulated to date. It is actually the promise to provide benefits in the future to those who work today. is an implicit obligation of the Government. Thus, in 2015, this debt was 182%, in 2018 – 306%, and in 2021 – 378%. In dynamics, the implicit debt increased by 2.5 times, and GDP increased only by 0.66 times</w:t>
      </w:r>
      <w:r w:rsidR="008D4C03">
        <w:rPr>
          <w:sz w:val="22"/>
          <w:szCs w:val="22"/>
          <w:lang w:val="en"/>
        </w:rPr>
        <w:t xml:space="preserve"> (CFA Society, Romania, 2025)</w:t>
      </w:r>
      <w:r w:rsidRPr="0093590F">
        <w:rPr>
          <w:sz w:val="22"/>
          <w:szCs w:val="22"/>
          <w:lang w:val="en"/>
        </w:rPr>
        <w:t>.</w:t>
      </w:r>
    </w:p>
    <w:p w14:paraId="5BA43CA2" w14:textId="208B00D1" w:rsidR="0093590F" w:rsidRPr="0093590F" w:rsidRDefault="0093590F" w:rsidP="0093590F">
      <w:pPr>
        <w:spacing w:after="120"/>
        <w:jc w:val="both"/>
        <w:rPr>
          <w:sz w:val="22"/>
          <w:szCs w:val="22"/>
          <w:lang w:val="en"/>
        </w:rPr>
      </w:pPr>
      <w:r w:rsidRPr="0093590F">
        <w:rPr>
          <w:sz w:val="22"/>
          <w:szCs w:val="22"/>
          <w:lang w:val="en"/>
        </w:rPr>
        <w:t xml:space="preserve">This </w:t>
      </w:r>
      <w:r w:rsidR="00662001">
        <w:rPr>
          <w:sz w:val="22"/>
          <w:szCs w:val="22"/>
          <w:lang w:val="en"/>
        </w:rPr>
        <w:t>“</w:t>
      </w:r>
      <w:r w:rsidRPr="0093590F">
        <w:rPr>
          <w:sz w:val="22"/>
          <w:szCs w:val="22"/>
          <w:lang w:val="en"/>
        </w:rPr>
        <w:t>implicit debt</w:t>
      </w:r>
      <w:r w:rsidR="00662001">
        <w:rPr>
          <w:sz w:val="22"/>
          <w:szCs w:val="22"/>
          <w:lang w:val="en"/>
        </w:rPr>
        <w:t>”</w:t>
      </w:r>
      <w:r w:rsidRPr="0093590F">
        <w:rPr>
          <w:sz w:val="22"/>
          <w:szCs w:val="22"/>
          <w:lang w:val="en"/>
        </w:rPr>
        <w:t xml:space="preserve"> is problematic because:</w:t>
      </w:r>
    </w:p>
    <w:p w14:paraId="46B706B1" w14:textId="376F94A8" w:rsidR="0093590F" w:rsidRPr="0093590F" w:rsidRDefault="0093590F" w:rsidP="0093590F">
      <w:pPr>
        <w:spacing w:after="120"/>
        <w:jc w:val="both"/>
        <w:rPr>
          <w:sz w:val="22"/>
          <w:szCs w:val="22"/>
          <w:lang w:val="en"/>
        </w:rPr>
      </w:pPr>
      <w:r w:rsidRPr="0093590F">
        <w:rPr>
          <w:sz w:val="22"/>
          <w:szCs w:val="22"/>
          <w:lang w:val="en"/>
        </w:rPr>
        <w:t>- it does not appear explicitly in the official public debt, but affects long-term fiscal sustainability</w:t>
      </w:r>
      <w:r w:rsidR="00373583">
        <w:rPr>
          <w:sz w:val="22"/>
          <w:szCs w:val="22"/>
          <w:lang w:val="en"/>
        </w:rPr>
        <w:t>;</w:t>
      </w:r>
    </w:p>
    <w:p w14:paraId="76888718" w14:textId="6F546398" w:rsidR="0093590F" w:rsidRPr="0093590F" w:rsidRDefault="0093590F" w:rsidP="0093590F">
      <w:pPr>
        <w:spacing w:after="120"/>
        <w:jc w:val="both"/>
        <w:rPr>
          <w:sz w:val="22"/>
          <w:szCs w:val="22"/>
          <w:lang w:val="en"/>
        </w:rPr>
      </w:pPr>
      <w:r w:rsidRPr="0093590F">
        <w:rPr>
          <w:sz w:val="22"/>
          <w:szCs w:val="22"/>
          <w:lang w:val="en"/>
        </w:rPr>
        <w:t>- it requires urgent reforms, such as raising the retirement age, changing pension calculation formulas or stimulating private saving</w:t>
      </w:r>
      <w:r w:rsidR="00373583">
        <w:rPr>
          <w:sz w:val="22"/>
          <w:szCs w:val="22"/>
          <w:lang w:val="en"/>
        </w:rPr>
        <w:t>;</w:t>
      </w:r>
    </w:p>
    <w:p w14:paraId="6EB398E7" w14:textId="77777777" w:rsidR="0093590F" w:rsidRPr="0093590F" w:rsidRDefault="0093590F" w:rsidP="0093590F">
      <w:pPr>
        <w:spacing w:after="120"/>
        <w:jc w:val="both"/>
        <w:rPr>
          <w:sz w:val="22"/>
          <w:szCs w:val="22"/>
          <w:lang w:val="en"/>
        </w:rPr>
      </w:pPr>
      <w:r w:rsidRPr="0093590F">
        <w:rPr>
          <w:sz w:val="22"/>
          <w:szCs w:val="22"/>
          <w:lang w:val="en"/>
        </w:rPr>
        <w:t>- it is influenced by demographic, economic and political factors.</w:t>
      </w:r>
    </w:p>
    <w:p w14:paraId="7AFDD96A" w14:textId="77777777" w:rsidR="0093590F" w:rsidRPr="0093590F" w:rsidRDefault="0093590F" w:rsidP="0093590F">
      <w:pPr>
        <w:spacing w:after="120"/>
        <w:jc w:val="both"/>
        <w:rPr>
          <w:sz w:val="22"/>
          <w:szCs w:val="22"/>
          <w:lang w:val="en"/>
        </w:rPr>
      </w:pPr>
      <w:r w:rsidRPr="0093590F">
        <w:rPr>
          <w:sz w:val="22"/>
          <w:szCs w:val="22"/>
          <w:lang w:val="en"/>
        </w:rPr>
        <w:t>It was concluded that a person who retires with a full contribution period will receive a pension that will cover the contributions paid only after 9-10 years, i.e. at the age of 74. After approximately 15 more years of payments, i.e. at the age of 90, a positive return (5%) will result.</w:t>
      </w:r>
    </w:p>
    <w:p w14:paraId="778AAF51" w14:textId="77777777" w:rsidR="0093590F" w:rsidRPr="0093590F" w:rsidRDefault="0093590F" w:rsidP="0093590F">
      <w:pPr>
        <w:spacing w:after="120"/>
        <w:jc w:val="both"/>
        <w:rPr>
          <w:sz w:val="22"/>
          <w:szCs w:val="22"/>
          <w:lang w:val="en"/>
        </w:rPr>
      </w:pPr>
      <w:r w:rsidRPr="0093590F">
        <w:rPr>
          <w:sz w:val="22"/>
          <w:szCs w:val="22"/>
          <w:lang w:val="en"/>
        </w:rPr>
        <w:t>The reforms needed to reduce implicit public debt include:</w:t>
      </w:r>
    </w:p>
    <w:p w14:paraId="1E74A15A" w14:textId="77777777" w:rsidR="0093590F" w:rsidRPr="0093590F" w:rsidRDefault="0093590F" w:rsidP="0093590F">
      <w:pPr>
        <w:spacing w:after="120"/>
        <w:jc w:val="both"/>
        <w:rPr>
          <w:sz w:val="22"/>
          <w:szCs w:val="22"/>
          <w:lang w:val="en"/>
        </w:rPr>
      </w:pPr>
      <w:r w:rsidRPr="0093590F">
        <w:rPr>
          <w:sz w:val="22"/>
          <w:szCs w:val="22"/>
          <w:lang w:val="en"/>
        </w:rPr>
        <w:t>- raising the retirement age;</w:t>
      </w:r>
    </w:p>
    <w:p w14:paraId="7B5EB4F6" w14:textId="77777777" w:rsidR="0093590F" w:rsidRPr="0093590F" w:rsidRDefault="0093590F" w:rsidP="0093590F">
      <w:pPr>
        <w:spacing w:after="120"/>
        <w:jc w:val="both"/>
        <w:rPr>
          <w:sz w:val="22"/>
          <w:szCs w:val="22"/>
          <w:lang w:val="en"/>
        </w:rPr>
      </w:pPr>
      <w:r w:rsidRPr="0093590F">
        <w:rPr>
          <w:sz w:val="22"/>
          <w:szCs w:val="22"/>
          <w:lang w:val="en"/>
        </w:rPr>
        <w:t>- optimizing the pension calculation formula;</w:t>
      </w:r>
    </w:p>
    <w:p w14:paraId="7B513534" w14:textId="77777777" w:rsidR="0093590F" w:rsidRPr="0093590F" w:rsidRDefault="0093590F" w:rsidP="0093590F">
      <w:pPr>
        <w:spacing w:after="120"/>
        <w:jc w:val="both"/>
        <w:rPr>
          <w:sz w:val="22"/>
          <w:szCs w:val="22"/>
          <w:lang w:val="en"/>
        </w:rPr>
      </w:pPr>
      <w:r w:rsidRPr="0093590F">
        <w:rPr>
          <w:sz w:val="22"/>
          <w:szCs w:val="22"/>
          <w:lang w:val="en"/>
        </w:rPr>
        <w:t>- encouraging saving through private pensions;</w:t>
      </w:r>
    </w:p>
    <w:p w14:paraId="75730532" w14:textId="77777777" w:rsidR="0093590F" w:rsidRPr="0093590F" w:rsidRDefault="0093590F" w:rsidP="0093590F">
      <w:pPr>
        <w:spacing w:after="120"/>
        <w:jc w:val="both"/>
        <w:rPr>
          <w:sz w:val="22"/>
          <w:szCs w:val="22"/>
          <w:lang w:val="en"/>
        </w:rPr>
      </w:pPr>
      <w:r w:rsidRPr="0093590F">
        <w:rPr>
          <w:sz w:val="22"/>
          <w:szCs w:val="22"/>
          <w:lang w:val="en"/>
        </w:rPr>
        <w:t>- promoting a sustainable economy and increasing the contributor base.</w:t>
      </w:r>
    </w:p>
    <w:p w14:paraId="589B525D" w14:textId="77777777" w:rsidR="0093590F" w:rsidRDefault="0093590F" w:rsidP="0093590F">
      <w:pPr>
        <w:spacing w:after="120"/>
        <w:jc w:val="both"/>
        <w:rPr>
          <w:sz w:val="22"/>
          <w:szCs w:val="22"/>
          <w:lang w:val="en"/>
        </w:rPr>
      </w:pPr>
      <w:r w:rsidRPr="0093590F">
        <w:rPr>
          <w:sz w:val="22"/>
          <w:szCs w:val="22"/>
          <w:lang w:val="en"/>
        </w:rPr>
        <w:t>Efficient management of implicit public debt is essential for the long-term viability of the Romanian pension system.</w:t>
      </w:r>
    </w:p>
    <w:p w14:paraId="2A732244" w14:textId="6B5814AB" w:rsidR="0093590F" w:rsidRPr="0093590F" w:rsidRDefault="0093590F" w:rsidP="0093590F">
      <w:pPr>
        <w:spacing w:after="120"/>
        <w:jc w:val="both"/>
        <w:rPr>
          <w:sz w:val="22"/>
          <w:szCs w:val="22"/>
          <w:lang w:val="ro-RO"/>
        </w:rPr>
      </w:pPr>
      <w:r w:rsidRPr="0093590F">
        <w:rPr>
          <w:sz w:val="22"/>
          <w:szCs w:val="22"/>
          <w:lang w:val="en"/>
        </w:rPr>
        <w:t>Pension system reform can be seen in any country as a social revolution, especially since the benefits of implementing a private system are often difficult to assess because they depend on the worker's contribution period, the benefits obtained based on the investment of funds, the size of the contribution, and the increase in earnings during working life</w:t>
      </w:r>
      <w:r w:rsidR="00E7060A">
        <w:rPr>
          <w:sz w:val="22"/>
          <w:szCs w:val="22"/>
          <w:lang w:val="en"/>
        </w:rPr>
        <w:t xml:space="preserve"> </w:t>
      </w:r>
      <w:r w:rsidR="00E7060A" w:rsidRPr="008D4C03">
        <w:rPr>
          <w:sz w:val="22"/>
          <w:szCs w:val="22"/>
          <w:lang w:val="en"/>
        </w:rPr>
        <w:t>(</w:t>
      </w:r>
      <w:r w:rsidR="00E7060A" w:rsidRPr="008D4C03">
        <w:rPr>
          <w:sz w:val="22"/>
          <w:szCs w:val="22"/>
        </w:rPr>
        <w:t>Dobrescu</w:t>
      </w:r>
      <w:r w:rsidR="00E7060A" w:rsidRPr="008D4C03">
        <w:rPr>
          <w:sz w:val="22"/>
          <w:szCs w:val="22"/>
          <w:lang w:val="ro-RO"/>
        </w:rPr>
        <w:t xml:space="preserve"> &amp;</w:t>
      </w:r>
      <w:r w:rsidR="00E7060A" w:rsidRPr="008D4C03">
        <w:rPr>
          <w:sz w:val="22"/>
          <w:szCs w:val="22"/>
        </w:rPr>
        <w:t xml:space="preserve"> Șeitan</w:t>
      </w:r>
      <w:r w:rsidR="00E7060A" w:rsidRPr="008D4C03">
        <w:rPr>
          <w:sz w:val="22"/>
          <w:szCs w:val="22"/>
          <w:lang w:val="ro-RO"/>
        </w:rPr>
        <w:t xml:space="preserve">, 2005, p. </w:t>
      </w:r>
      <w:r w:rsidR="00E7060A">
        <w:rPr>
          <w:sz w:val="22"/>
          <w:szCs w:val="22"/>
          <w:lang w:val="ro-RO"/>
        </w:rPr>
        <w:t>19</w:t>
      </w:r>
      <w:r w:rsidR="00E7060A" w:rsidRPr="008D4C03">
        <w:rPr>
          <w:sz w:val="22"/>
          <w:szCs w:val="22"/>
          <w:lang w:val="ro-RO"/>
        </w:rPr>
        <w:t>)</w:t>
      </w:r>
      <w:r w:rsidRPr="0093590F">
        <w:rPr>
          <w:sz w:val="22"/>
          <w:szCs w:val="22"/>
          <w:lang w:val="en"/>
        </w:rPr>
        <w:t>.</w:t>
      </w:r>
    </w:p>
    <w:p w14:paraId="64B24E3B" w14:textId="1DAD0209" w:rsidR="0093590F" w:rsidRDefault="0093590F" w:rsidP="0093590F">
      <w:pPr>
        <w:spacing w:after="120"/>
        <w:jc w:val="both"/>
        <w:rPr>
          <w:sz w:val="22"/>
          <w:szCs w:val="22"/>
          <w:lang w:val="ro-RO"/>
        </w:rPr>
      </w:pPr>
      <w:r w:rsidRPr="0093590F">
        <w:rPr>
          <w:sz w:val="22"/>
          <w:szCs w:val="22"/>
        </w:rPr>
        <w:t xml:space="preserve">The main reason why the pension system is in continuous reform is that </w:t>
      </w:r>
      <w:r>
        <w:rPr>
          <w:sz w:val="22"/>
          <w:szCs w:val="22"/>
          <w:lang w:val="ro-RO"/>
        </w:rPr>
        <w:t>„</w:t>
      </w:r>
      <w:r w:rsidRPr="0093590F">
        <w:rPr>
          <w:sz w:val="22"/>
          <w:szCs w:val="22"/>
        </w:rPr>
        <w:t>the benefits obtained from public Pay-As-You-Go systems will experience a continuous decrease all over the world</w:t>
      </w:r>
      <w:r>
        <w:rPr>
          <w:sz w:val="22"/>
          <w:szCs w:val="22"/>
          <w:lang w:val="ro-RO"/>
        </w:rPr>
        <w:t>”</w:t>
      </w:r>
      <w:r w:rsidR="00E7060A">
        <w:rPr>
          <w:sz w:val="22"/>
          <w:szCs w:val="22"/>
          <w:lang w:val="ro-RO"/>
        </w:rPr>
        <w:t xml:space="preserve"> </w:t>
      </w:r>
      <w:r w:rsidR="00E7060A" w:rsidRPr="008D4C03">
        <w:rPr>
          <w:sz w:val="22"/>
          <w:szCs w:val="22"/>
          <w:lang w:val="en"/>
        </w:rPr>
        <w:t>(</w:t>
      </w:r>
      <w:r w:rsidR="00E7060A" w:rsidRPr="008D4C03">
        <w:rPr>
          <w:sz w:val="22"/>
          <w:szCs w:val="22"/>
        </w:rPr>
        <w:t>Dobrescu</w:t>
      </w:r>
      <w:r w:rsidR="00E7060A" w:rsidRPr="008D4C03">
        <w:rPr>
          <w:sz w:val="22"/>
          <w:szCs w:val="22"/>
          <w:lang w:val="ro-RO"/>
        </w:rPr>
        <w:t xml:space="preserve"> &amp;</w:t>
      </w:r>
      <w:r w:rsidR="00E7060A" w:rsidRPr="008D4C03">
        <w:rPr>
          <w:sz w:val="22"/>
          <w:szCs w:val="22"/>
        </w:rPr>
        <w:t xml:space="preserve"> Șeitan</w:t>
      </w:r>
      <w:r w:rsidR="00E7060A" w:rsidRPr="008D4C03">
        <w:rPr>
          <w:sz w:val="22"/>
          <w:szCs w:val="22"/>
          <w:lang w:val="ro-RO"/>
        </w:rPr>
        <w:t>, 2005, p. 1</w:t>
      </w:r>
      <w:r w:rsidR="00E7060A">
        <w:rPr>
          <w:sz w:val="22"/>
          <w:szCs w:val="22"/>
          <w:lang w:val="ro-RO"/>
        </w:rPr>
        <w:t>2</w:t>
      </w:r>
      <w:r w:rsidR="00E7060A" w:rsidRPr="008D4C03">
        <w:rPr>
          <w:sz w:val="22"/>
          <w:szCs w:val="22"/>
          <w:lang w:val="ro-RO"/>
        </w:rPr>
        <w:t>)</w:t>
      </w:r>
      <w:r>
        <w:rPr>
          <w:sz w:val="22"/>
          <w:szCs w:val="22"/>
          <w:lang w:val="ro-RO"/>
        </w:rPr>
        <w:t>.</w:t>
      </w:r>
    </w:p>
    <w:p w14:paraId="3878A8CE" w14:textId="77777777" w:rsidR="0093590F" w:rsidRPr="0093590F" w:rsidRDefault="0093590F" w:rsidP="0093590F">
      <w:pPr>
        <w:spacing w:after="120"/>
        <w:jc w:val="both"/>
        <w:rPr>
          <w:sz w:val="22"/>
          <w:szCs w:val="22"/>
          <w:lang w:val="en"/>
        </w:rPr>
      </w:pPr>
      <w:r w:rsidRPr="0093590F">
        <w:rPr>
          <w:sz w:val="22"/>
          <w:szCs w:val="22"/>
          <w:lang w:val="en"/>
        </w:rPr>
        <w:t>Calculations by CFA Society Romania specialists show that a young person who would now get a job and work for 35 years would receive a public old-age pension of 40% of the last salary income, and by 2070 it would drop to 28%. By accessing Pillar II, they could reach a replacement rate of 50-55%.</w:t>
      </w:r>
    </w:p>
    <w:p w14:paraId="07F0B2F8" w14:textId="32659804" w:rsidR="0093590F" w:rsidRPr="006C7B0F" w:rsidRDefault="0093590F" w:rsidP="0093590F">
      <w:pPr>
        <w:spacing w:after="120"/>
        <w:jc w:val="both"/>
        <w:rPr>
          <w:spacing w:val="-2"/>
          <w:sz w:val="22"/>
          <w:szCs w:val="22"/>
          <w:lang w:val="en"/>
        </w:rPr>
      </w:pPr>
      <w:r w:rsidRPr="0093590F">
        <w:rPr>
          <w:spacing w:val="-2"/>
          <w:sz w:val="22"/>
          <w:szCs w:val="22"/>
          <w:lang w:val="en"/>
        </w:rPr>
        <w:lastRenderedPageBreak/>
        <w:t xml:space="preserve">The viability of Pay-As-You-Go systems was seen with distrust and the governments of most states tried to identify other ways to ensure security for citizens who have reached the third age. Alternative ways were also thought of because </w:t>
      </w:r>
      <w:r w:rsidRPr="006C7B0F">
        <w:rPr>
          <w:spacing w:val="-2"/>
          <w:sz w:val="22"/>
          <w:szCs w:val="22"/>
          <w:lang w:val="en"/>
        </w:rPr>
        <w:t>“</w:t>
      </w:r>
      <w:r w:rsidRPr="0093590F">
        <w:rPr>
          <w:spacing w:val="-2"/>
          <w:sz w:val="22"/>
          <w:szCs w:val="22"/>
          <w:lang w:val="en"/>
        </w:rPr>
        <w:t>the increase in contribution rates to public pension systems and the normal retirement age cannot be achieved beyond a certain limit that is bearable for taxpayers</w:t>
      </w:r>
      <w:r w:rsidRPr="006C7B0F">
        <w:rPr>
          <w:spacing w:val="-2"/>
          <w:sz w:val="22"/>
          <w:szCs w:val="22"/>
          <w:lang w:val="en"/>
        </w:rPr>
        <w:t>”</w:t>
      </w:r>
      <w:r w:rsidR="006C7B0F" w:rsidRPr="006C7B0F">
        <w:rPr>
          <w:spacing w:val="-2"/>
          <w:sz w:val="22"/>
          <w:szCs w:val="22"/>
          <w:lang w:val="en"/>
        </w:rPr>
        <w:t xml:space="preserve"> (</w:t>
      </w:r>
      <w:r w:rsidR="006C7B0F" w:rsidRPr="006C7B0F">
        <w:rPr>
          <w:spacing w:val="-2"/>
          <w:sz w:val="22"/>
        </w:rPr>
        <w:t>Ban, 2007, p. 33</w:t>
      </w:r>
      <w:r w:rsidR="006C7B0F" w:rsidRPr="006C7B0F">
        <w:rPr>
          <w:spacing w:val="-2"/>
          <w:sz w:val="22"/>
          <w:lang w:val="ro-RO"/>
        </w:rPr>
        <w:t>)</w:t>
      </w:r>
      <w:r w:rsidRPr="0093590F">
        <w:rPr>
          <w:spacing w:val="-2"/>
          <w:sz w:val="22"/>
          <w:szCs w:val="22"/>
          <w:lang w:val="en"/>
        </w:rPr>
        <w:t>.</w:t>
      </w:r>
    </w:p>
    <w:p w14:paraId="249732CC" w14:textId="77777777" w:rsidR="0093590F" w:rsidRPr="0093590F" w:rsidRDefault="0093590F" w:rsidP="0093590F">
      <w:pPr>
        <w:spacing w:after="120"/>
        <w:jc w:val="both"/>
        <w:rPr>
          <w:sz w:val="22"/>
          <w:szCs w:val="22"/>
          <w:lang w:val="en"/>
        </w:rPr>
      </w:pPr>
      <w:r w:rsidRPr="0093590F">
        <w:rPr>
          <w:sz w:val="22"/>
          <w:szCs w:val="22"/>
          <w:lang w:val="en"/>
        </w:rPr>
        <w:t xml:space="preserve">The most used method by governments has been the progressive replacement of Pay-As-You-Go systems with private pension systems. In this way, citizens' pensions are secured by investing in the capital markets the funds accumulated from the contributions of those who are members of a private pension plan. In some developed countries, such as the UK or the USA, this type of system consisting of private pension plans has been adopted much more intensively than in other developed countries. </w:t>
      </w:r>
    </w:p>
    <w:p w14:paraId="57847D85" w14:textId="2D87EEE8" w:rsidR="0093590F" w:rsidRDefault="0093590F" w:rsidP="0093590F">
      <w:pPr>
        <w:spacing w:after="120"/>
        <w:jc w:val="both"/>
        <w:rPr>
          <w:sz w:val="22"/>
          <w:szCs w:val="22"/>
          <w:lang w:val="en"/>
        </w:rPr>
      </w:pPr>
      <w:r w:rsidRPr="0093590F">
        <w:rPr>
          <w:sz w:val="22"/>
          <w:szCs w:val="22"/>
          <w:lang w:val="en"/>
        </w:rPr>
        <w:t>Some countries in Eastern Europe or South America are ahead in the process of gradually replacing public pension systems with private systems. This situation is due to the imbalances that Latin American and Eastern European countries had in relation to the public pension insurance budget. They could not be covered in the macroeconomic context of these countries and governments were forced to implement a reform of the public pension system much earlier than other countries with a developed economy</w:t>
      </w:r>
      <w:r w:rsidR="005520B8">
        <w:rPr>
          <w:sz w:val="22"/>
          <w:szCs w:val="22"/>
          <w:lang w:val="en"/>
        </w:rPr>
        <w:t xml:space="preserve"> </w:t>
      </w:r>
      <w:r w:rsidR="005520B8" w:rsidRPr="006C7B0F">
        <w:rPr>
          <w:spacing w:val="-2"/>
          <w:sz w:val="22"/>
          <w:szCs w:val="22"/>
          <w:lang w:val="en"/>
        </w:rPr>
        <w:t>(</w:t>
      </w:r>
      <w:r w:rsidR="005520B8" w:rsidRPr="006C7B0F">
        <w:rPr>
          <w:spacing w:val="-2"/>
          <w:sz w:val="22"/>
        </w:rPr>
        <w:t>Ban, 2007, p. 33</w:t>
      </w:r>
      <w:r w:rsidR="005520B8" w:rsidRPr="006C7B0F">
        <w:rPr>
          <w:spacing w:val="-2"/>
          <w:sz w:val="22"/>
          <w:lang w:val="ro-RO"/>
        </w:rPr>
        <w:t>)</w:t>
      </w:r>
      <w:r w:rsidRPr="0093590F">
        <w:rPr>
          <w:sz w:val="22"/>
          <w:szCs w:val="22"/>
          <w:lang w:val="en"/>
        </w:rPr>
        <w:t>.</w:t>
      </w:r>
    </w:p>
    <w:p w14:paraId="52266294" w14:textId="6461D401" w:rsidR="005520B8" w:rsidRPr="005520B8" w:rsidRDefault="0093590F" w:rsidP="005520B8">
      <w:pPr>
        <w:spacing w:after="120"/>
        <w:jc w:val="both"/>
        <w:rPr>
          <w:sz w:val="22"/>
          <w:szCs w:val="22"/>
          <w:lang w:val="en"/>
        </w:rPr>
      </w:pPr>
      <w:r w:rsidRPr="0093590F">
        <w:rPr>
          <w:sz w:val="22"/>
          <w:szCs w:val="22"/>
          <w:lang w:val="en"/>
        </w:rPr>
        <w:t>Developing countries in Latin America, Eastern Europe and Central Asia have reformed their pension systems and introduced either a substitution model or a mixed or parallel model based on individual employee accounts. The first country in these areas to implement pension privatization was Chile in 1981. This model was followed by Peru in 1993, Argentina and Colombia in 1994, and Mexico in 1997. Nicaragua, Costa Rica and Ecuador initiated reforms after 2000. A similar model was followed in the countries of Eastern Europe and Central Asia. They followed the global neoliberal trend and introduced private individual pension accounts, Hungary in 1998, Poland in 1999, Latvia and Kazakhstan in 2001, Bulgaria and Croatia in 2002, Lithuania in 2004 and Slovakia a year later</w:t>
      </w:r>
      <w:r w:rsidR="005520B8">
        <w:rPr>
          <w:sz w:val="22"/>
          <w:szCs w:val="22"/>
          <w:lang w:val="en"/>
        </w:rPr>
        <w:t xml:space="preserve"> (</w:t>
      </w:r>
      <w:proofErr w:type="spellStart"/>
      <w:r w:rsidR="005520B8" w:rsidRPr="005520B8">
        <w:rPr>
          <w:sz w:val="22"/>
          <w:szCs w:val="22"/>
          <w:lang w:val="en"/>
        </w:rPr>
        <w:t>Bonizzi</w:t>
      </w:r>
      <w:proofErr w:type="spellEnd"/>
      <w:r w:rsidR="005520B8">
        <w:rPr>
          <w:sz w:val="22"/>
          <w:szCs w:val="22"/>
          <w:lang w:val="en"/>
        </w:rPr>
        <w:t xml:space="preserve"> &amp; </w:t>
      </w:r>
      <w:r w:rsidR="005520B8" w:rsidRPr="005520B8">
        <w:rPr>
          <w:sz w:val="22"/>
          <w:szCs w:val="22"/>
          <w:lang w:val="en"/>
        </w:rPr>
        <w:t xml:space="preserve">Guevara, </w:t>
      </w:r>
      <w:r w:rsidR="005520B8">
        <w:rPr>
          <w:sz w:val="22"/>
          <w:szCs w:val="22"/>
          <w:lang w:val="en"/>
        </w:rPr>
        <w:t>2019).</w:t>
      </w:r>
    </w:p>
    <w:p w14:paraId="4BA223AC" w14:textId="77777777" w:rsidR="0044726B" w:rsidRPr="00BA3371" w:rsidRDefault="0044726B" w:rsidP="0044726B">
      <w:pPr>
        <w:pStyle w:val="MainBody"/>
        <w:spacing w:after="120"/>
        <w:rPr>
          <w:b/>
          <w:sz w:val="22"/>
          <w:lang w:val="en-GB"/>
        </w:rPr>
      </w:pPr>
    </w:p>
    <w:p w14:paraId="7B52E54C" w14:textId="77777777" w:rsidR="004E0ED7" w:rsidRPr="004E0ED7" w:rsidRDefault="0044726B" w:rsidP="004E0ED7">
      <w:pPr>
        <w:pStyle w:val="NITextBody"/>
        <w:rPr>
          <w:b/>
          <w:sz w:val="24"/>
          <w:lang w:val="ro-RO"/>
        </w:rPr>
      </w:pPr>
      <w:r w:rsidRPr="00F85109">
        <w:rPr>
          <w:b/>
          <w:sz w:val="24"/>
        </w:rPr>
        <w:t>2</w:t>
      </w:r>
      <w:r w:rsidRPr="00F85109">
        <w:rPr>
          <w:b/>
          <w:sz w:val="24"/>
        </w:rPr>
        <w:tab/>
      </w:r>
      <w:r w:rsidR="004E0ED7" w:rsidRPr="004E0ED7">
        <w:rPr>
          <w:b/>
          <w:sz w:val="24"/>
          <w:lang w:val="en"/>
        </w:rPr>
        <w:t>Private pension market as of December 31, 2024</w:t>
      </w:r>
    </w:p>
    <w:p w14:paraId="253FD485" w14:textId="57D0A482" w:rsidR="004E0ED7" w:rsidRPr="004E0ED7" w:rsidRDefault="004E0ED7" w:rsidP="004E0ED7">
      <w:pPr>
        <w:spacing w:after="120"/>
        <w:jc w:val="both"/>
        <w:rPr>
          <w:sz w:val="22"/>
          <w:szCs w:val="22"/>
          <w:lang w:val="en"/>
        </w:rPr>
      </w:pPr>
      <w:r>
        <w:rPr>
          <w:sz w:val="22"/>
          <w:szCs w:val="22"/>
          <w:lang w:val="en"/>
        </w:rPr>
        <w:t>I</w:t>
      </w:r>
      <w:r w:rsidRPr="004E0ED7">
        <w:rPr>
          <w:sz w:val="22"/>
          <w:szCs w:val="22"/>
          <w:lang w:val="en"/>
        </w:rPr>
        <w:t>n summary</w:t>
      </w:r>
      <w:r w:rsidR="00D80DA5">
        <w:rPr>
          <w:sz w:val="22"/>
          <w:szCs w:val="22"/>
          <w:lang w:val="en"/>
        </w:rPr>
        <w:t xml:space="preserve"> (</w:t>
      </w:r>
      <w:r w:rsidR="00D80DA5" w:rsidRPr="00D80DA5">
        <w:rPr>
          <w:sz w:val="22"/>
          <w:szCs w:val="22"/>
          <w:lang w:val="en"/>
        </w:rPr>
        <w:t>Financial Supervisory Authority</w:t>
      </w:r>
      <w:r w:rsidR="00D80DA5">
        <w:rPr>
          <w:sz w:val="22"/>
          <w:szCs w:val="22"/>
          <w:lang w:val="en"/>
        </w:rPr>
        <w:t>, 2024, p. 3)</w:t>
      </w:r>
      <w:r w:rsidRPr="004E0ED7">
        <w:rPr>
          <w:sz w:val="22"/>
          <w:szCs w:val="22"/>
          <w:lang w:val="en"/>
        </w:rPr>
        <w:t>:</w:t>
      </w:r>
    </w:p>
    <w:p w14:paraId="57603C23" w14:textId="77777777" w:rsidR="004E0ED7" w:rsidRPr="004E0ED7" w:rsidRDefault="004E0ED7" w:rsidP="004E0ED7">
      <w:pPr>
        <w:pStyle w:val="MainBody"/>
        <w:spacing w:after="120"/>
        <w:rPr>
          <w:sz w:val="22"/>
          <w:lang w:val="en"/>
        </w:rPr>
      </w:pPr>
      <w:r w:rsidRPr="004E0ED7">
        <w:rPr>
          <w:sz w:val="22"/>
          <w:lang w:val="en"/>
        </w:rPr>
        <w:t>1. Total assets – 156.44 billion lei, up 19% compared to 2023.</w:t>
      </w:r>
    </w:p>
    <w:p w14:paraId="21EFEDC6" w14:textId="77777777" w:rsidR="004E0ED7" w:rsidRPr="004E0ED7" w:rsidRDefault="004E0ED7" w:rsidP="004E0ED7">
      <w:pPr>
        <w:pStyle w:val="MainBody"/>
        <w:spacing w:after="120"/>
        <w:rPr>
          <w:sz w:val="22"/>
          <w:lang w:val="en"/>
        </w:rPr>
      </w:pPr>
      <w:r w:rsidRPr="004E0ED7">
        <w:rPr>
          <w:sz w:val="22"/>
          <w:lang w:val="en"/>
        </w:rPr>
        <w:t>2. Mandatory privately administered pension – Pillar II – 150.88 billion lei, 19% more than on 31.12.2023.</w:t>
      </w:r>
    </w:p>
    <w:p w14:paraId="0C817D5B" w14:textId="77777777" w:rsidR="004E0ED7" w:rsidRPr="004E0ED7" w:rsidRDefault="004E0ED7" w:rsidP="004E0ED7">
      <w:pPr>
        <w:pStyle w:val="MainBody"/>
        <w:spacing w:after="120"/>
        <w:rPr>
          <w:sz w:val="22"/>
          <w:lang w:val="en"/>
        </w:rPr>
      </w:pPr>
      <w:r w:rsidRPr="004E0ED7">
        <w:rPr>
          <w:sz w:val="22"/>
          <w:lang w:val="en"/>
        </w:rPr>
        <w:t>3. Voluntary privately administered pension – Pillar III – 5.55 billion lei, 17% more than in the previous year</w:t>
      </w:r>
    </w:p>
    <w:p w14:paraId="5EB2B6EB" w14:textId="77777777" w:rsidR="004E0ED7" w:rsidRPr="004E0ED7" w:rsidRDefault="004E0ED7" w:rsidP="004E0ED7">
      <w:pPr>
        <w:pStyle w:val="MainBody"/>
        <w:spacing w:after="120"/>
        <w:rPr>
          <w:sz w:val="22"/>
          <w:lang w:val="en"/>
        </w:rPr>
      </w:pPr>
      <w:r w:rsidRPr="004E0ED7">
        <w:rPr>
          <w:sz w:val="22"/>
          <w:lang w:val="en"/>
        </w:rPr>
        <w:t>4. Total assets represent 9.06% of GDP</w:t>
      </w:r>
    </w:p>
    <w:p w14:paraId="09202B51" w14:textId="77777777" w:rsidR="004E0ED7" w:rsidRPr="004E0ED7" w:rsidRDefault="004E0ED7" w:rsidP="004E0ED7">
      <w:pPr>
        <w:pStyle w:val="MainBody"/>
        <w:spacing w:after="120"/>
        <w:rPr>
          <w:sz w:val="22"/>
          <w:lang w:val="en"/>
        </w:rPr>
      </w:pPr>
      <w:r w:rsidRPr="004E0ED7">
        <w:rPr>
          <w:sz w:val="22"/>
          <w:lang w:val="en"/>
        </w:rPr>
        <w:t>5. Participants – 9.123 million, of which:</w:t>
      </w:r>
    </w:p>
    <w:p w14:paraId="322A8304" w14:textId="77777777" w:rsidR="004E0ED7" w:rsidRPr="004E0ED7" w:rsidRDefault="004E0ED7" w:rsidP="004E0ED7">
      <w:pPr>
        <w:pStyle w:val="MainBody"/>
        <w:spacing w:after="120"/>
        <w:rPr>
          <w:sz w:val="22"/>
          <w:lang w:val="en"/>
        </w:rPr>
      </w:pPr>
      <w:r w:rsidRPr="004E0ED7">
        <w:rPr>
          <w:sz w:val="22"/>
          <w:lang w:val="en"/>
        </w:rPr>
        <w:t>- Pillar II – 8.29 million</w:t>
      </w:r>
    </w:p>
    <w:p w14:paraId="23F0F9F6" w14:textId="77777777" w:rsidR="004E0ED7" w:rsidRPr="004E0ED7" w:rsidRDefault="004E0ED7" w:rsidP="004E0ED7">
      <w:pPr>
        <w:pStyle w:val="MainBody"/>
        <w:spacing w:after="120"/>
        <w:rPr>
          <w:sz w:val="22"/>
          <w:lang w:val="en"/>
        </w:rPr>
      </w:pPr>
      <w:r w:rsidRPr="004E0ED7">
        <w:rPr>
          <w:sz w:val="22"/>
          <w:lang w:val="en"/>
        </w:rPr>
        <w:t>- Pillar III – 633 thousand</w:t>
      </w:r>
    </w:p>
    <w:p w14:paraId="6EB20D1C" w14:textId="4071DE4C" w:rsidR="004E0ED7" w:rsidRPr="004E0ED7" w:rsidRDefault="004E0ED7" w:rsidP="004E0ED7">
      <w:pPr>
        <w:pStyle w:val="MainBody"/>
        <w:spacing w:after="120"/>
        <w:rPr>
          <w:sz w:val="22"/>
          <w:lang w:val="en"/>
        </w:rPr>
      </w:pPr>
      <w:r w:rsidRPr="004E0ED7">
        <w:rPr>
          <w:sz w:val="22"/>
          <w:lang w:val="en"/>
        </w:rPr>
        <w:t>6. Investments were made mainly on the national market</w:t>
      </w:r>
      <w:r w:rsidR="00C5789F">
        <w:rPr>
          <w:sz w:val="22"/>
          <w:lang w:val="en"/>
        </w:rPr>
        <w:t>:</w:t>
      </w:r>
    </w:p>
    <w:p w14:paraId="3FADD499" w14:textId="77777777" w:rsidR="004E0ED7" w:rsidRPr="004E0ED7" w:rsidRDefault="004E0ED7" w:rsidP="004E0ED7">
      <w:pPr>
        <w:pStyle w:val="MainBody"/>
        <w:spacing w:after="120"/>
        <w:rPr>
          <w:sz w:val="22"/>
          <w:lang w:val="en"/>
        </w:rPr>
      </w:pPr>
      <w:r w:rsidRPr="004E0ED7">
        <w:rPr>
          <w:sz w:val="22"/>
          <w:lang w:val="en"/>
        </w:rPr>
        <w:t>- ​​fixed income instruments – 72%;</w:t>
      </w:r>
    </w:p>
    <w:p w14:paraId="0AC1BAF1" w14:textId="77777777" w:rsidR="004E0ED7" w:rsidRPr="004E0ED7" w:rsidRDefault="004E0ED7" w:rsidP="004E0ED7">
      <w:pPr>
        <w:pStyle w:val="MainBody"/>
        <w:spacing w:after="120"/>
        <w:rPr>
          <w:sz w:val="22"/>
          <w:lang w:val="ro-RO"/>
        </w:rPr>
      </w:pPr>
      <w:r w:rsidRPr="004E0ED7">
        <w:rPr>
          <w:sz w:val="22"/>
          <w:lang w:val="en"/>
        </w:rPr>
        <w:t>- shares – 23%.</w:t>
      </w:r>
    </w:p>
    <w:p w14:paraId="4F2BEE90" w14:textId="77777777" w:rsidR="004E0ED7" w:rsidRPr="004E0ED7" w:rsidRDefault="004E0ED7" w:rsidP="004E0ED7">
      <w:pPr>
        <w:pStyle w:val="MainBody"/>
        <w:spacing w:after="120"/>
        <w:rPr>
          <w:b/>
          <w:bCs/>
          <w:sz w:val="22"/>
          <w:lang w:val="en"/>
        </w:rPr>
      </w:pPr>
      <w:r w:rsidRPr="004E0ED7">
        <w:rPr>
          <w:b/>
          <w:bCs/>
          <w:sz w:val="22"/>
          <w:lang w:val="en"/>
        </w:rPr>
        <w:t>a. Economic and geopolitical context</w:t>
      </w:r>
    </w:p>
    <w:p w14:paraId="636BEB7E" w14:textId="77777777" w:rsidR="004E0ED7" w:rsidRPr="004E0ED7" w:rsidRDefault="004E0ED7" w:rsidP="004E0ED7">
      <w:pPr>
        <w:pStyle w:val="MainBody"/>
        <w:spacing w:after="120"/>
        <w:rPr>
          <w:sz w:val="22"/>
          <w:lang w:val="en"/>
        </w:rPr>
      </w:pPr>
      <w:r w:rsidRPr="004E0ED7">
        <w:rPr>
          <w:sz w:val="22"/>
          <w:lang w:val="en"/>
        </w:rPr>
        <w:t>The year 2024 was characterized by volatility in financial markets as a result of:</w:t>
      </w:r>
    </w:p>
    <w:p w14:paraId="3E36312B" w14:textId="77777777" w:rsidR="004E0ED7" w:rsidRPr="004E0ED7" w:rsidRDefault="004E0ED7" w:rsidP="004E0ED7">
      <w:pPr>
        <w:pStyle w:val="MainBody"/>
        <w:spacing w:after="120"/>
        <w:rPr>
          <w:sz w:val="22"/>
          <w:lang w:val="en"/>
        </w:rPr>
      </w:pPr>
      <w:r w:rsidRPr="004E0ED7">
        <w:rPr>
          <w:sz w:val="22"/>
          <w:lang w:val="en"/>
        </w:rPr>
        <w:t>- the European Parliament elections;</w:t>
      </w:r>
    </w:p>
    <w:p w14:paraId="400903C8" w14:textId="77777777" w:rsidR="004E0ED7" w:rsidRPr="004E0ED7" w:rsidRDefault="004E0ED7" w:rsidP="004E0ED7">
      <w:pPr>
        <w:pStyle w:val="MainBody"/>
        <w:spacing w:after="120"/>
        <w:rPr>
          <w:sz w:val="22"/>
          <w:lang w:val="en"/>
        </w:rPr>
      </w:pPr>
      <w:r w:rsidRPr="004E0ED7">
        <w:rPr>
          <w:sz w:val="22"/>
          <w:lang w:val="en"/>
        </w:rPr>
        <w:t>- the US elections in November and the victory of Donald Trump;</w:t>
      </w:r>
    </w:p>
    <w:p w14:paraId="34E2DC3C" w14:textId="77777777" w:rsidR="004E0ED7" w:rsidRPr="004E0ED7" w:rsidRDefault="004E0ED7" w:rsidP="004E0ED7">
      <w:pPr>
        <w:pStyle w:val="MainBody"/>
        <w:spacing w:after="120"/>
        <w:rPr>
          <w:sz w:val="22"/>
          <w:lang w:val="en"/>
        </w:rPr>
      </w:pPr>
      <w:r w:rsidRPr="004E0ED7">
        <w:rPr>
          <w:sz w:val="22"/>
          <w:lang w:val="en"/>
        </w:rPr>
        <w:t>- the war in Ukraine and the prospects of unprecedented alliances in the history of humanity;</w:t>
      </w:r>
    </w:p>
    <w:p w14:paraId="7E27B5B2" w14:textId="77777777" w:rsidR="004E0ED7" w:rsidRPr="004E0ED7" w:rsidRDefault="004E0ED7" w:rsidP="004E0ED7">
      <w:pPr>
        <w:pStyle w:val="MainBody"/>
        <w:spacing w:after="120"/>
        <w:rPr>
          <w:sz w:val="22"/>
          <w:lang w:val="en"/>
        </w:rPr>
      </w:pPr>
      <w:r w:rsidRPr="004E0ED7">
        <w:rPr>
          <w:sz w:val="22"/>
          <w:lang w:val="en"/>
        </w:rPr>
        <w:t>- the divergent monetary policies practiced by the US and the EU can influence financial markets;</w:t>
      </w:r>
    </w:p>
    <w:p w14:paraId="54726DF1" w14:textId="77777777" w:rsidR="004E0ED7" w:rsidRPr="004E0ED7" w:rsidRDefault="004E0ED7" w:rsidP="004E0ED7">
      <w:pPr>
        <w:pStyle w:val="MainBody"/>
        <w:spacing w:after="120"/>
        <w:rPr>
          <w:sz w:val="22"/>
          <w:lang w:val="en"/>
        </w:rPr>
      </w:pPr>
      <w:r w:rsidRPr="004E0ED7">
        <w:rPr>
          <w:sz w:val="22"/>
          <w:lang w:val="en"/>
        </w:rPr>
        <w:lastRenderedPageBreak/>
        <w:t>- the reduction of interest rates on loans, although there is still a lot of inertia in the euro area;</w:t>
      </w:r>
    </w:p>
    <w:p w14:paraId="44F08F31" w14:textId="2CFC6CF1" w:rsidR="004E0ED7" w:rsidRPr="004E0ED7" w:rsidRDefault="004E0ED7" w:rsidP="004E0ED7">
      <w:pPr>
        <w:pStyle w:val="MainBody"/>
        <w:spacing w:after="120"/>
        <w:rPr>
          <w:sz w:val="22"/>
          <w:lang w:val="en"/>
        </w:rPr>
      </w:pPr>
      <w:r w:rsidRPr="004E0ED7">
        <w:rPr>
          <w:sz w:val="22"/>
          <w:lang w:val="en"/>
        </w:rPr>
        <w:t xml:space="preserve">- the price of oil fluctuated: in the first half of the </w:t>
      </w:r>
      <w:r w:rsidR="00DC54E3" w:rsidRPr="004E0ED7">
        <w:rPr>
          <w:sz w:val="22"/>
          <w:lang w:val="en"/>
        </w:rPr>
        <w:t>year,</w:t>
      </w:r>
      <w:r w:rsidRPr="004E0ED7">
        <w:rPr>
          <w:sz w:val="22"/>
          <w:lang w:val="en"/>
        </w:rPr>
        <w:t xml:space="preserve"> it decreased, but as a result of the conflict in the Middle East (Gaza Strip) it appreciated significantly;</w:t>
      </w:r>
    </w:p>
    <w:p w14:paraId="5BB22011" w14:textId="77777777" w:rsidR="004E0ED7" w:rsidRPr="004E0ED7" w:rsidRDefault="004E0ED7" w:rsidP="004E0ED7">
      <w:pPr>
        <w:pStyle w:val="MainBody"/>
        <w:spacing w:after="120"/>
        <w:rPr>
          <w:sz w:val="22"/>
          <w:lang w:val="en"/>
        </w:rPr>
      </w:pPr>
      <w:r w:rsidRPr="004E0ED7">
        <w:rPr>
          <w:sz w:val="22"/>
          <w:lang w:val="en"/>
        </w:rPr>
        <w:t>- the collapse of the coalition government in Germany;</w:t>
      </w:r>
    </w:p>
    <w:p w14:paraId="5B852123" w14:textId="77777777" w:rsidR="004E0ED7" w:rsidRPr="004E0ED7" w:rsidRDefault="004E0ED7" w:rsidP="004E0ED7">
      <w:pPr>
        <w:pStyle w:val="MainBody"/>
        <w:spacing w:after="120"/>
        <w:rPr>
          <w:sz w:val="22"/>
          <w:lang w:val="en"/>
        </w:rPr>
      </w:pPr>
      <w:r w:rsidRPr="004E0ED7">
        <w:rPr>
          <w:sz w:val="22"/>
          <w:lang w:val="en"/>
        </w:rPr>
        <w:t>- political instability in France; as a consequence, the value of shares in Europe has constantly decreased, compared to the trend of those on North American markets.</w:t>
      </w:r>
    </w:p>
    <w:p w14:paraId="1D552A50" w14:textId="77777777" w:rsidR="004E0ED7" w:rsidRPr="004E0ED7" w:rsidRDefault="004E0ED7" w:rsidP="004E0ED7">
      <w:pPr>
        <w:pStyle w:val="MainBody"/>
        <w:spacing w:after="120"/>
        <w:rPr>
          <w:sz w:val="22"/>
          <w:lang w:val="en"/>
        </w:rPr>
      </w:pPr>
      <w:r w:rsidRPr="004E0ED7">
        <w:rPr>
          <w:sz w:val="22"/>
          <w:lang w:val="en"/>
        </w:rPr>
        <w:t>All these factors, in conjunction, create and maintain a state of uncertainty. This is why 72% of assets are placed in financial instruments with moderate returns. However, banks have relaxed lending conditions, on the one hand interest rates are stimulating, and on the other hand pension funds have demonstrated good resilience to shocks.</w:t>
      </w:r>
    </w:p>
    <w:p w14:paraId="6744F66F" w14:textId="77777777" w:rsidR="004E0ED7" w:rsidRDefault="004E0ED7" w:rsidP="004E0ED7">
      <w:pPr>
        <w:pStyle w:val="MainBody"/>
        <w:spacing w:after="120"/>
        <w:rPr>
          <w:sz w:val="22"/>
          <w:lang w:val="en"/>
        </w:rPr>
      </w:pPr>
      <w:r w:rsidRPr="004E0ED7">
        <w:rPr>
          <w:sz w:val="22"/>
          <w:lang w:val="en"/>
        </w:rPr>
        <w:t>Europe has seen an increase in public debt, and concomitant with the rapid evolution of the American stock markets and crypto-assets, corrections to EU GDP were necessary, thus destabilizing the investment climate.</w:t>
      </w:r>
    </w:p>
    <w:p w14:paraId="1D800BEC" w14:textId="2FC31FEC" w:rsidR="004E0ED7" w:rsidRPr="004E0ED7" w:rsidRDefault="004E0ED7" w:rsidP="004E0ED7">
      <w:pPr>
        <w:pStyle w:val="MainBody"/>
        <w:spacing w:after="120"/>
        <w:rPr>
          <w:sz w:val="22"/>
          <w:lang w:val="en"/>
        </w:rPr>
      </w:pPr>
      <w:r w:rsidRPr="004E0ED7">
        <w:rPr>
          <w:sz w:val="22"/>
          <w:lang w:val="en"/>
        </w:rPr>
        <w:t>Moreover, accelerated digitalization</w:t>
      </w:r>
      <w:r w:rsidR="00DC54E3">
        <w:rPr>
          <w:sz w:val="22"/>
          <w:lang w:val="en"/>
        </w:rPr>
        <w:t xml:space="preserve"> </w:t>
      </w:r>
      <w:r w:rsidR="00DC54E3" w:rsidRPr="005920E3">
        <w:rPr>
          <w:sz w:val="22"/>
          <w:szCs w:val="22"/>
          <w:lang w:val="en"/>
        </w:rPr>
        <w:t>(</w:t>
      </w:r>
      <w:r w:rsidR="00DC54E3" w:rsidRPr="005920E3">
        <w:rPr>
          <w:sz w:val="22"/>
          <w:szCs w:val="22"/>
        </w:rPr>
        <w:t xml:space="preserve">Van Meerten </w:t>
      </w:r>
      <w:r w:rsidR="00DC54E3" w:rsidRPr="005920E3">
        <w:rPr>
          <w:sz w:val="22"/>
          <w:szCs w:val="22"/>
          <w:lang w:val="ro-RO"/>
        </w:rPr>
        <w:t xml:space="preserve">&amp; </w:t>
      </w:r>
      <w:r w:rsidR="00DC54E3" w:rsidRPr="005920E3">
        <w:rPr>
          <w:sz w:val="22"/>
          <w:szCs w:val="22"/>
        </w:rPr>
        <w:t>Van Zanden</w:t>
      </w:r>
      <w:r w:rsidR="00DC54E3" w:rsidRPr="005920E3">
        <w:rPr>
          <w:sz w:val="22"/>
          <w:szCs w:val="22"/>
          <w:lang w:val="ro-RO"/>
        </w:rPr>
        <w:t>, p. 6)</w:t>
      </w:r>
      <w:r w:rsidRPr="004E0ED7">
        <w:rPr>
          <w:sz w:val="22"/>
          <w:lang w:val="en"/>
        </w:rPr>
        <w:t xml:space="preserve"> brings both gains and major risks. Technology providers are becoming fewer and are hit by cyberattacks, and the benefits of AI can be offset by security issues.</w:t>
      </w:r>
    </w:p>
    <w:p w14:paraId="7FE010A4" w14:textId="77777777" w:rsidR="00D26C9C" w:rsidRPr="00D26C9C" w:rsidRDefault="00D26C9C" w:rsidP="00D26C9C">
      <w:pPr>
        <w:pStyle w:val="MainBody"/>
        <w:spacing w:after="120"/>
        <w:rPr>
          <w:sz w:val="22"/>
          <w:lang w:val="en"/>
        </w:rPr>
      </w:pPr>
      <w:r w:rsidRPr="00D26C9C">
        <w:rPr>
          <w:sz w:val="22"/>
          <w:lang w:val="en"/>
        </w:rPr>
        <w:t>The most volatile market is that of crypto-currencies, with spectacular increases, followed by inexplicable falls.</w:t>
      </w:r>
    </w:p>
    <w:p w14:paraId="51EB57F1" w14:textId="77777777" w:rsidR="00D26C9C" w:rsidRPr="00D26C9C" w:rsidRDefault="00D26C9C" w:rsidP="00D26C9C">
      <w:pPr>
        <w:pStyle w:val="MainBody"/>
        <w:spacing w:after="120"/>
        <w:rPr>
          <w:b/>
          <w:bCs/>
          <w:sz w:val="22"/>
          <w:lang w:val="en"/>
        </w:rPr>
      </w:pPr>
      <w:r w:rsidRPr="00D26C9C">
        <w:rPr>
          <w:b/>
          <w:bCs/>
          <w:sz w:val="22"/>
          <w:lang w:val="en"/>
        </w:rPr>
        <w:t>Macroeconomic outlook:</w:t>
      </w:r>
    </w:p>
    <w:p w14:paraId="4C9995D6" w14:textId="77777777" w:rsidR="00D26C9C" w:rsidRPr="00D26C9C" w:rsidRDefault="00D26C9C" w:rsidP="00D26C9C">
      <w:pPr>
        <w:pStyle w:val="MainBody"/>
        <w:spacing w:after="120"/>
        <w:rPr>
          <w:sz w:val="22"/>
          <w:lang w:val="en"/>
        </w:rPr>
      </w:pPr>
      <w:r w:rsidRPr="00D26C9C">
        <w:rPr>
          <w:sz w:val="22"/>
          <w:lang w:val="en"/>
        </w:rPr>
        <w:t>- economic growth in the EU – 1.5%;</w:t>
      </w:r>
    </w:p>
    <w:p w14:paraId="3B16120D" w14:textId="77777777" w:rsidR="00D26C9C" w:rsidRPr="00D26C9C" w:rsidRDefault="00D26C9C" w:rsidP="00D26C9C">
      <w:pPr>
        <w:pStyle w:val="MainBody"/>
        <w:spacing w:after="120"/>
        <w:rPr>
          <w:sz w:val="22"/>
          <w:lang w:val="en"/>
        </w:rPr>
      </w:pPr>
      <w:r w:rsidRPr="00D26C9C">
        <w:rPr>
          <w:sz w:val="22"/>
          <w:lang w:val="en"/>
        </w:rPr>
        <w:t>- global economic growth – 3.2% (according to data provided by the IMF);</w:t>
      </w:r>
    </w:p>
    <w:p w14:paraId="58BF585C" w14:textId="77777777" w:rsidR="00D26C9C" w:rsidRPr="00D26C9C" w:rsidRDefault="00D26C9C" w:rsidP="00D26C9C">
      <w:pPr>
        <w:pStyle w:val="MainBody"/>
        <w:spacing w:after="120"/>
        <w:rPr>
          <w:sz w:val="22"/>
          <w:lang w:val="en"/>
        </w:rPr>
      </w:pPr>
      <w:r w:rsidRPr="00D26C9C">
        <w:rPr>
          <w:sz w:val="22"/>
          <w:lang w:val="en"/>
        </w:rPr>
        <w:t>- inflation – 2.6% (2024) and 2.4% (2025);</w:t>
      </w:r>
    </w:p>
    <w:p w14:paraId="3FADA0E2" w14:textId="77777777" w:rsidR="00D26C9C" w:rsidRPr="00D26C9C" w:rsidRDefault="00D26C9C" w:rsidP="00D26C9C">
      <w:pPr>
        <w:pStyle w:val="MainBody"/>
        <w:spacing w:after="120"/>
        <w:rPr>
          <w:sz w:val="22"/>
          <w:lang w:val="ro-RO"/>
        </w:rPr>
      </w:pPr>
      <w:r w:rsidRPr="00D26C9C">
        <w:rPr>
          <w:sz w:val="22"/>
          <w:lang w:val="en"/>
        </w:rPr>
        <w:t>- public debt – decreasing, to 81.7% of GDP, but the trend is upward due to increased arms spending.</w:t>
      </w:r>
    </w:p>
    <w:p w14:paraId="4A10413B" w14:textId="77777777" w:rsidR="008D1C1C" w:rsidRPr="008D1C1C" w:rsidRDefault="008D1C1C" w:rsidP="008D1C1C">
      <w:pPr>
        <w:pStyle w:val="MainBody"/>
        <w:spacing w:after="120"/>
        <w:rPr>
          <w:b/>
          <w:bCs/>
          <w:sz w:val="22"/>
          <w:lang w:val="en"/>
        </w:rPr>
      </w:pPr>
      <w:r w:rsidRPr="008D1C1C">
        <w:rPr>
          <w:b/>
          <w:bCs/>
          <w:sz w:val="22"/>
          <w:lang w:val="en"/>
        </w:rPr>
        <w:t>b. In Romania</w:t>
      </w:r>
    </w:p>
    <w:p w14:paraId="6CA34CC6" w14:textId="77777777" w:rsidR="008D1C1C" w:rsidRPr="008D1C1C" w:rsidRDefault="008D1C1C" w:rsidP="008D1C1C">
      <w:pPr>
        <w:pStyle w:val="MainBody"/>
        <w:spacing w:after="120"/>
        <w:rPr>
          <w:sz w:val="22"/>
          <w:lang w:val="en"/>
        </w:rPr>
      </w:pPr>
      <w:r w:rsidRPr="008D1C1C">
        <w:rPr>
          <w:sz w:val="22"/>
          <w:lang w:val="en"/>
        </w:rPr>
        <w:t xml:space="preserve">● GDP in 2024 registered an increase of 0.9% compared to 2023. For 2025, a GDP increase of 3% is forecast. </w:t>
      </w:r>
    </w:p>
    <w:p w14:paraId="4FC527B0" w14:textId="77777777" w:rsidR="008D1C1C" w:rsidRPr="008D1C1C" w:rsidRDefault="008D1C1C" w:rsidP="008D1C1C">
      <w:pPr>
        <w:pStyle w:val="MainBody"/>
        <w:spacing w:after="120"/>
        <w:rPr>
          <w:sz w:val="22"/>
          <w:lang w:val="en"/>
        </w:rPr>
      </w:pPr>
      <w:r w:rsidRPr="008D1C1C">
        <w:rPr>
          <w:sz w:val="22"/>
          <w:lang w:val="en"/>
        </w:rPr>
        <w:t xml:space="preserve">● For 2025 and 2026, economic growth is expected to be more than 2% as a result of consistent external demand, domestic consumption and local investments. </w:t>
      </w:r>
    </w:p>
    <w:p w14:paraId="59906A2C" w14:textId="77777777" w:rsidR="008D1C1C" w:rsidRPr="008D1C1C" w:rsidRDefault="008D1C1C" w:rsidP="008D1C1C">
      <w:pPr>
        <w:pStyle w:val="MainBody"/>
        <w:spacing w:after="120"/>
        <w:rPr>
          <w:sz w:val="22"/>
          <w:lang w:val="en"/>
        </w:rPr>
      </w:pPr>
      <w:r w:rsidRPr="008D1C1C">
        <w:rPr>
          <w:sz w:val="22"/>
          <w:lang w:val="en"/>
        </w:rPr>
        <w:t>● Unemployment will register a significant decrease.</w:t>
      </w:r>
    </w:p>
    <w:p w14:paraId="1445EEA8" w14:textId="77777777" w:rsidR="008D1C1C" w:rsidRPr="008D1C1C" w:rsidRDefault="008D1C1C" w:rsidP="008D1C1C">
      <w:pPr>
        <w:pStyle w:val="MainBody"/>
        <w:spacing w:after="120"/>
        <w:rPr>
          <w:sz w:val="22"/>
          <w:lang w:val="en"/>
        </w:rPr>
      </w:pPr>
      <w:r w:rsidRPr="008D1C1C">
        <w:rPr>
          <w:sz w:val="22"/>
          <w:lang w:val="en"/>
        </w:rPr>
        <w:t>● Public debt will be higher in the coming years, reaching 60% of GDP.</w:t>
      </w:r>
    </w:p>
    <w:p w14:paraId="59E1603F" w14:textId="77777777" w:rsidR="008D1C1C" w:rsidRPr="008D1C1C" w:rsidRDefault="008D1C1C" w:rsidP="008D1C1C">
      <w:pPr>
        <w:pStyle w:val="MainBody"/>
        <w:spacing w:after="120"/>
        <w:rPr>
          <w:sz w:val="22"/>
          <w:lang w:val="en"/>
        </w:rPr>
      </w:pPr>
      <w:r w:rsidRPr="008D1C1C">
        <w:rPr>
          <w:sz w:val="22"/>
          <w:lang w:val="en"/>
        </w:rPr>
        <w:t>● The consumer price index was 5.1% in December 2024 compared to December 2023. In the euro area, the annual inflation rate was 2.5%, below the level in December 2023.</w:t>
      </w:r>
    </w:p>
    <w:p w14:paraId="36363A16" w14:textId="77777777" w:rsidR="008D1C1C" w:rsidRPr="008D1C1C" w:rsidRDefault="008D1C1C" w:rsidP="008D1C1C">
      <w:pPr>
        <w:pStyle w:val="MainBody"/>
        <w:spacing w:after="120"/>
        <w:rPr>
          <w:sz w:val="22"/>
          <w:lang w:val="en"/>
        </w:rPr>
      </w:pPr>
      <w:r w:rsidRPr="008D1C1C">
        <w:rPr>
          <w:sz w:val="22"/>
          <w:lang w:val="en"/>
        </w:rPr>
        <w:t>● Interest</w:t>
      </w:r>
    </w:p>
    <w:p w14:paraId="595F38BB" w14:textId="7716AF03" w:rsidR="008D1C1C" w:rsidRPr="008D1C1C" w:rsidRDefault="008D1C1C" w:rsidP="008D1C1C">
      <w:pPr>
        <w:pStyle w:val="MainBody"/>
        <w:spacing w:after="120"/>
        <w:rPr>
          <w:sz w:val="22"/>
          <w:lang w:val="en"/>
        </w:rPr>
      </w:pPr>
      <w:r w:rsidRPr="008D1C1C">
        <w:rPr>
          <w:sz w:val="22"/>
          <w:lang w:val="en"/>
        </w:rPr>
        <w:t>The yield on government bonds was gradually increasing (6.3-7.2%)</w:t>
      </w:r>
      <w:r w:rsidR="00BA1672">
        <w:rPr>
          <w:sz w:val="22"/>
          <w:lang w:val="en"/>
        </w:rPr>
        <w:t xml:space="preserve"> </w:t>
      </w:r>
      <w:r w:rsidR="00BA1672">
        <w:rPr>
          <w:sz w:val="22"/>
          <w:szCs w:val="22"/>
          <w:lang w:val="en"/>
        </w:rPr>
        <w:t>(</w:t>
      </w:r>
      <w:r w:rsidR="00BA1672" w:rsidRPr="00D80DA5">
        <w:rPr>
          <w:sz w:val="22"/>
          <w:szCs w:val="22"/>
          <w:lang w:val="en"/>
        </w:rPr>
        <w:t>Financial Supervisory Authority</w:t>
      </w:r>
      <w:r w:rsidR="00BA1672">
        <w:rPr>
          <w:sz w:val="22"/>
          <w:szCs w:val="22"/>
          <w:lang w:val="en"/>
        </w:rPr>
        <w:t>, 2024, p. 10)</w:t>
      </w:r>
      <w:r w:rsidRPr="008D1C1C">
        <w:rPr>
          <w:sz w:val="22"/>
          <w:lang w:val="en"/>
        </w:rPr>
        <w:t>, which denotes on the one hand an increase in financing costs, and on the other hand that the Romanian economy is not a stable economy. A similar situation is in the case of Poland. The economies of Germany and France are much more stable (5-5.5%)</w:t>
      </w:r>
      <w:r w:rsidR="000B55B7">
        <w:rPr>
          <w:sz w:val="22"/>
          <w:lang w:val="en"/>
        </w:rPr>
        <w:t xml:space="preserve"> </w:t>
      </w:r>
      <w:r w:rsidR="000B55B7">
        <w:rPr>
          <w:sz w:val="22"/>
          <w:szCs w:val="22"/>
          <w:lang w:val="en"/>
        </w:rPr>
        <w:t>(</w:t>
      </w:r>
      <w:r w:rsidR="000B55B7" w:rsidRPr="00D80DA5">
        <w:rPr>
          <w:sz w:val="22"/>
          <w:szCs w:val="22"/>
          <w:lang w:val="en"/>
        </w:rPr>
        <w:t>Financial Supervisory Authority</w:t>
      </w:r>
      <w:r w:rsidR="000B55B7">
        <w:rPr>
          <w:sz w:val="22"/>
          <w:szCs w:val="22"/>
          <w:lang w:val="en"/>
        </w:rPr>
        <w:t>, 2024, p. 10)</w:t>
      </w:r>
      <w:r w:rsidRPr="008D1C1C">
        <w:rPr>
          <w:sz w:val="22"/>
          <w:lang w:val="en"/>
        </w:rPr>
        <w:t xml:space="preserve">. </w:t>
      </w:r>
    </w:p>
    <w:p w14:paraId="35103680" w14:textId="4732001E" w:rsidR="008D1C1C" w:rsidRPr="008D1C1C" w:rsidRDefault="008D1C1C" w:rsidP="008D1C1C">
      <w:pPr>
        <w:pStyle w:val="MainBody"/>
        <w:spacing w:after="120"/>
        <w:rPr>
          <w:sz w:val="22"/>
          <w:lang w:val="ro-RO"/>
        </w:rPr>
      </w:pPr>
      <w:r w:rsidRPr="008D1C1C">
        <w:rPr>
          <w:sz w:val="22"/>
          <w:lang w:val="en"/>
        </w:rPr>
        <w:t xml:space="preserve">● Economic </w:t>
      </w:r>
      <w:r w:rsidR="004528E2">
        <w:rPr>
          <w:sz w:val="22"/>
          <w:lang w:val="en"/>
        </w:rPr>
        <w:t>feeling</w:t>
      </w:r>
      <w:r w:rsidRPr="008D1C1C">
        <w:rPr>
          <w:sz w:val="22"/>
          <w:lang w:val="en"/>
        </w:rPr>
        <w:t xml:space="preserve"> – ​​reflects the degree of confidence of the business environment and consumers in the economic prospects of the respective country. Romania and Poland have greater economic resilience compared to the European average.</w:t>
      </w:r>
    </w:p>
    <w:p w14:paraId="59C0A187" w14:textId="77777777" w:rsidR="00E46EAA" w:rsidRPr="00E46EAA" w:rsidRDefault="00E46EAA" w:rsidP="00E46EAA">
      <w:pPr>
        <w:pStyle w:val="MainBody"/>
        <w:spacing w:after="120"/>
        <w:rPr>
          <w:b/>
          <w:bCs/>
          <w:sz w:val="22"/>
          <w:lang w:val="en"/>
        </w:rPr>
      </w:pPr>
      <w:r w:rsidRPr="00E46EAA">
        <w:rPr>
          <w:b/>
          <w:bCs/>
          <w:sz w:val="22"/>
          <w:lang w:val="en"/>
        </w:rPr>
        <w:t>c. Private pensions in Europe</w:t>
      </w:r>
    </w:p>
    <w:p w14:paraId="4E019793" w14:textId="77777777" w:rsidR="00E46EAA" w:rsidRPr="00E46EAA" w:rsidRDefault="00E46EAA" w:rsidP="00E46EAA">
      <w:pPr>
        <w:pStyle w:val="MainBody"/>
        <w:spacing w:after="120"/>
        <w:rPr>
          <w:sz w:val="22"/>
          <w:lang w:val="en"/>
        </w:rPr>
      </w:pPr>
      <w:r w:rsidRPr="00E46EAA">
        <w:rPr>
          <w:sz w:val="22"/>
          <w:lang w:val="en"/>
        </w:rPr>
        <w:t>EIOPA – The European Insurance and Occupational Pensions Authority shows in a report in October 2024 that the economy of the old continent is stable:</w:t>
      </w:r>
    </w:p>
    <w:p w14:paraId="2E20D2F2" w14:textId="49D14B18" w:rsidR="00E46EAA" w:rsidRPr="00E46EAA" w:rsidRDefault="00E46EAA" w:rsidP="00E46EAA">
      <w:pPr>
        <w:pStyle w:val="MainBody"/>
        <w:spacing w:after="120"/>
        <w:rPr>
          <w:sz w:val="22"/>
          <w:lang w:val="en"/>
        </w:rPr>
      </w:pPr>
      <w:r w:rsidRPr="00E46EAA">
        <w:rPr>
          <w:sz w:val="22"/>
          <w:lang w:val="en"/>
        </w:rPr>
        <w:lastRenderedPageBreak/>
        <w:t xml:space="preserve">● The assets from occupational pensions that the authorized institutions hold </w:t>
      </w:r>
      <w:r w:rsidR="00DD3648" w:rsidRPr="00E46EAA">
        <w:rPr>
          <w:sz w:val="22"/>
          <w:lang w:val="en"/>
        </w:rPr>
        <w:t>is</w:t>
      </w:r>
      <w:r w:rsidRPr="00E46EAA">
        <w:rPr>
          <w:sz w:val="22"/>
          <w:lang w:val="en"/>
        </w:rPr>
        <w:t xml:space="preserve"> worth 2838 billion euros (Q2 2024)</w:t>
      </w:r>
      <w:r w:rsidR="00DD3648">
        <w:rPr>
          <w:sz w:val="22"/>
          <w:lang w:val="en"/>
        </w:rPr>
        <w:t xml:space="preserve"> </w:t>
      </w:r>
      <w:r w:rsidR="00DD3648" w:rsidRPr="005920E3">
        <w:rPr>
          <w:sz w:val="22"/>
          <w:szCs w:val="22"/>
          <w:lang w:val="en"/>
        </w:rPr>
        <w:t>(</w:t>
      </w:r>
      <w:r w:rsidR="00DD3648" w:rsidRPr="005920E3">
        <w:rPr>
          <w:sz w:val="22"/>
          <w:szCs w:val="22"/>
        </w:rPr>
        <w:t xml:space="preserve">Van Meerten </w:t>
      </w:r>
      <w:r w:rsidR="00DD3648" w:rsidRPr="005920E3">
        <w:rPr>
          <w:sz w:val="22"/>
          <w:szCs w:val="22"/>
          <w:lang w:val="ro-RO"/>
        </w:rPr>
        <w:t xml:space="preserve">&amp; </w:t>
      </w:r>
      <w:r w:rsidR="00DD3648" w:rsidRPr="005920E3">
        <w:rPr>
          <w:sz w:val="22"/>
          <w:szCs w:val="22"/>
        </w:rPr>
        <w:t>Van Zanden</w:t>
      </w:r>
      <w:r w:rsidR="00DD3648" w:rsidRPr="005920E3">
        <w:rPr>
          <w:sz w:val="22"/>
          <w:szCs w:val="22"/>
          <w:lang w:val="ro-RO"/>
        </w:rPr>
        <w:t xml:space="preserve">, p. </w:t>
      </w:r>
      <w:r w:rsidR="00DD3648">
        <w:rPr>
          <w:sz w:val="22"/>
          <w:szCs w:val="22"/>
          <w:lang w:val="ro-RO"/>
        </w:rPr>
        <w:t>13</w:t>
      </w:r>
      <w:r w:rsidR="00DD3648" w:rsidRPr="005920E3">
        <w:rPr>
          <w:sz w:val="22"/>
          <w:szCs w:val="22"/>
          <w:lang w:val="ro-RO"/>
        </w:rPr>
        <w:t>)</w:t>
      </w:r>
      <w:r w:rsidRPr="00E46EAA">
        <w:rPr>
          <w:sz w:val="22"/>
          <w:lang w:val="en"/>
        </w:rPr>
        <w:t xml:space="preserve">. </w:t>
      </w:r>
    </w:p>
    <w:p w14:paraId="3C496103" w14:textId="77777777" w:rsidR="00E46EAA" w:rsidRPr="00E46EAA" w:rsidRDefault="00E46EAA" w:rsidP="00E46EAA">
      <w:pPr>
        <w:pStyle w:val="MainBody"/>
        <w:spacing w:after="120"/>
        <w:rPr>
          <w:sz w:val="22"/>
          <w:lang w:val="en"/>
        </w:rPr>
      </w:pPr>
      <w:r w:rsidRPr="00E46EAA">
        <w:rPr>
          <w:sz w:val="22"/>
          <w:lang w:val="en"/>
        </w:rPr>
        <w:t xml:space="preserve">● The degree of penetration of assets in GDP is an indicator that assesses the strength of private pensions in an economy. By far, the European leader is the Netherlands with an index of 153%, seconded by Sweden with 52% and Cyprus with 11%. </w:t>
      </w:r>
    </w:p>
    <w:p w14:paraId="661B746C" w14:textId="77777777" w:rsidR="00E46EAA" w:rsidRPr="00E46EAA" w:rsidRDefault="00E46EAA" w:rsidP="00E46EAA">
      <w:pPr>
        <w:pStyle w:val="MainBody"/>
        <w:spacing w:after="120"/>
        <w:rPr>
          <w:sz w:val="22"/>
          <w:lang w:val="en"/>
        </w:rPr>
      </w:pPr>
      <w:r w:rsidRPr="00E46EAA">
        <w:rPr>
          <w:sz w:val="22"/>
          <w:lang w:val="en"/>
        </w:rPr>
        <w:t xml:space="preserve">● If Germany invests 73% of assets locally, Spain invests only 14% in national instruments. </w:t>
      </w:r>
    </w:p>
    <w:p w14:paraId="43E9D81F" w14:textId="77777777" w:rsidR="00E46EAA" w:rsidRPr="00E46EAA" w:rsidRDefault="00E46EAA" w:rsidP="00E46EAA">
      <w:pPr>
        <w:pStyle w:val="MainBody"/>
        <w:spacing w:after="120"/>
        <w:rPr>
          <w:sz w:val="22"/>
          <w:lang w:val="en"/>
        </w:rPr>
      </w:pPr>
      <w:r w:rsidRPr="00E46EAA">
        <w:rPr>
          <w:sz w:val="22"/>
          <w:lang w:val="en"/>
        </w:rPr>
        <w:t xml:space="preserve">Although in Romania there is no institution that sells occupational pensions, but only private pensions, the investments are made in national financial instruments. </w:t>
      </w:r>
    </w:p>
    <w:p w14:paraId="7D14F30D" w14:textId="1D10A3F7" w:rsidR="00E46EAA" w:rsidRPr="00E46EAA" w:rsidRDefault="00E46EAA" w:rsidP="00E46EAA">
      <w:pPr>
        <w:pStyle w:val="MainBody"/>
        <w:spacing w:after="120"/>
        <w:rPr>
          <w:sz w:val="22"/>
          <w:lang w:val="en"/>
        </w:rPr>
      </w:pPr>
      <w:r w:rsidRPr="00E46EAA">
        <w:rPr>
          <w:sz w:val="22"/>
          <w:lang w:val="en"/>
        </w:rPr>
        <w:t>In the EEA – European Economic Area, investments are made in the following financial instruments</w:t>
      </w:r>
      <w:r w:rsidR="008802AF">
        <w:rPr>
          <w:sz w:val="22"/>
          <w:lang w:val="en"/>
        </w:rPr>
        <w:t xml:space="preserve"> </w:t>
      </w:r>
      <w:r w:rsidR="008802AF">
        <w:rPr>
          <w:sz w:val="22"/>
          <w:szCs w:val="22"/>
          <w:lang w:val="en"/>
        </w:rPr>
        <w:t>(</w:t>
      </w:r>
      <w:r w:rsidR="008802AF" w:rsidRPr="00D80DA5">
        <w:rPr>
          <w:sz w:val="22"/>
          <w:szCs w:val="22"/>
          <w:lang w:val="en"/>
        </w:rPr>
        <w:t>Financial Supervisory Authority</w:t>
      </w:r>
      <w:r w:rsidR="008802AF">
        <w:rPr>
          <w:sz w:val="22"/>
          <w:szCs w:val="22"/>
          <w:lang w:val="en"/>
        </w:rPr>
        <w:t>, 2024, p. 16)</w:t>
      </w:r>
      <w:r w:rsidRPr="00E46EAA">
        <w:rPr>
          <w:sz w:val="22"/>
          <w:lang w:val="en"/>
        </w:rPr>
        <w:t xml:space="preserve">: </w:t>
      </w:r>
    </w:p>
    <w:p w14:paraId="27BD391A" w14:textId="77777777" w:rsidR="00E46EAA" w:rsidRPr="00E46EAA" w:rsidRDefault="00E46EAA" w:rsidP="00E46EAA">
      <w:pPr>
        <w:pStyle w:val="MainBody"/>
        <w:spacing w:after="120"/>
        <w:rPr>
          <w:sz w:val="22"/>
          <w:lang w:val="en"/>
        </w:rPr>
      </w:pPr>
      <w:r w:rsidRPr="00E46EAA">
        <w:rPr>
          <w:sz w:val="22"/>
          <w:lang w:val="en"/>
        </w:rPr>
        <w:t>- government bonds – 22.83%;</w:t>
      </w:r>
    </w:p>
    <w:p w14:paraId="21446C32" w14:textId="77777777" w:rsidR="00E46EAA" w:rsidRPr="00E46EAA" w:rsidRDefault="00E46EAA" w:rsidP="00E46EAA">
      <w:pPr>
        <w:pStyle w:val="MainBody"/>
        <w:spacing w:after="120"/>
        <w:rPr>
          <w:sz w:val="22"/>
          <w:lang w:val="en"/>
        </w:rPr>
      </w:pPr>
      <w:r w:rsidRPr="00E46EAA">
        <w:rPr>
          <w:sz w:val="22"/>
          <w:lang w:val="en"/>
        </w:rPr>
        <w:t>- corporate bonds – 12%;</w:t>
      </w:r>
    </w:p>
    <w:p w14:paraId="58F77428" w14:textId="77777777" w:rsidR="00E46EAA" w:rsidRPr="00E46EAA" w:rsidRDefault="00E46EAA" w:rsidP="00E46EAA">
      <w:pPr>
        <w:pStyle w:val="MainBody"/>
        <w:spacing w:after="120"/>
        <w:rPr>
          <w:sz w:val="22"/>
          <w:lang w:val="en"/>
        </w:rPr>
      </w:pPr>
      <w:r w:rsidRPr="00E46EAA">
        <w:rPr>
          <w:sz w:val="22"/>
          <w:lang w:val="en"/>
        </w:rPr>
        <w:t>- shares – 18%;</w:t>
      </w:r>
    </w:p>
    <w:p w14:paraId="28301300" w14:textId="77777777" w:rsidR="00E46EAA" w:rsidRPr="00E46EAA" w:rsidRDefault="00E46EAA" w:rsidP="00E46EAA">
      <w:pPr>
        <w:pStyle w:val="MainBody"/>
        <w:spacing w:after="120"/>
        <w:rPr>
          <w:sz w:val="22"/>
          <w:lang w:val="en"/>
        </w:rPr>
      </w:pPr>
      <w:r w:rsidRPr="00E46EAA">
        <w:rPr>
          <w:sz w:val="22"/>
          <w:lang w:val="en"/>
        </w:rPr>
        <w:t>- investment funds – 37.9%</w:t>
      </w:r>
    </w:p>
    <w:p w14:paraId="5755B320" w14:textId="77777777" w:rsidR="00E46EAA" w:rsidRPr="00E46EAA" w:rsidRDefault="00E46EAA" w:rsidP="00E46EAA">
      <w:pPr>
        <w:pStyle w:val="MainBody"/>
        <w:spacing w:after="120"/>
        <w:rPr>
          <w:sz w:val="22"/>
          <w:lang w:val="ro-RO"/>
        </w:rPr>
      </w:pPr>
      <w:r w:rsidRPr="00E46EAA">
        <w:rPr>
          <w:sz w:val="22"/>
          <w:lang w:val="en"/>
        </w:rPr>
        <w:t>- bank deposits and cash, land and buildings, mortgages have a very small share.</w:t>
      </w:r>
    </w:p>
    <w:p w14:paraId="5778C9B6" w14:textId="77777777" w:rsidR="00844A32" w:rsidRPr="00844A32" w:rsidRDefault="00844A32" w:rsidP="00844A32">
      <w:pPr>
        <w:pStyle w:val="MainBody"/>
        <w:spacing w:after="120"/>
        <w:rPr>
          <w:b/>
          <w:bCs/>
          <w:sz w:val="22"/>
          <w:lang w:val="en"/>
        </w:rPr>
      </w:pPr>
      <w:r w:rsidRPr="00844A32">
        <w:rPr>
          <w:b/>
          <w:bCs/>
          <w:sz w:val="22"/>
          <w:lang w:val="en"/>
        </w:rPr>
        <w:t>d. Private pensions in Romania as of 31.12.2024 – summary</w:t>
      </w:r>
    </w:p>
    <w:p w14:paraId="4FDF1EF6" w14:textId="77777777" w:rsidR="00844A32" w:rsidRPr="00844A32" w:rsidRDefault="00844A32" w:rsidP="00844A32">
      <w:pPr>
        <w:pStyle w:val="MainBody"/>
        <w:spacing w:after="120"/>
        <w:rPr>
          <w:sz w:val="22"/>
          <w:lang w:val="en"/>
        </w:rPr>
      </w:pPr>
      <w:r w:rsidRPr="00844A32">
        <w:rPr>
          <w:sz w:val="22"/>
          <w:lang w:val="en"/>
        </w:rPr>
        <w:t>- Private pension funds – 17;</w:t>
      </w:r>
    </w:p>
    <w:p w14:paraId="3DB3A706" w14:textId="77777777" w:rsidR="00844A32" w:rsidRPr="00844A32" w:rsidRDefault="00844A32" w:rsidP="00844A32">
      <w:pPr>
        <w:pStyle w:val="MainBody"/>
        <w:spacing w:after="120"/>
        <w:rPr>
          <w:sz w:val="22"/>
          <w:lang w:val="en"/>
        </w:rPr>
      </w:pPr>
      <w:r w:rsidRPr="00844A32">
        <w:rPr>
          <w:sz w:val="22"/>
          <w:lang w:val="en"/>
        </w:rPr>
        <w:t>- Administrators – 10;</w:t>
      </w:r>
    </w:p>
    <w:p w14:paraId="301B5AFC" w14:textId="77777777" w:rsidR="00844A32" w:rsidRPr="00844A32" w:rsidRDefault="00844A32" w:rsidP="00844A32">
      <w:pPr>
        <w:pStyle w:val="MainBody"/>
        <w:spacing w:after="120"/>
        <w:rPr>
          <w:sz w:val="22"/>
          <w:lang w:val="en"/>
        </w:rPr>
      </w:pPr>
      <w:r w:rsidRPr="00844A32">
        <w:rPr>
          <w:sz w:val="22"/>
          <w:lang w:val="en"/>
        </w:rPr>
        <w:t>- Depositories – 3;</w:t>
      </w:r>
    </w:p>
    <w:p w14:paraId="247E4C2A" w14:textId="77777777" w:rsidR="00844A32" w:rsidRPr="00844A32" w:rsidRDefault="00844A32" w:rsidP="00844A32">
      <w:pPr>
        <w:pStyle w:val="MainBody"/>
        <w:spacing w:after="120"/>
        <w:rPr>
          <w:sz w:val="22"/>
          <w:lang w:val="en"/>
        </w:rPr>
      </w:pPr>
      <w:r w:rsidRPr="00844A32">
        <w:rPr>
          <w:sz w:val="22"/>
          <w:lang w:val="en"/>
        </w:rPr>
        <w:t>- Auditors – 7;</w:t>
      </w:r>
    </w:p>
    <w:p w14:paraId="1C3CC033" w14:textId="77777777" w:rsidR="00844A32" w:rsidRPr="00844A32" w:rsidRDefault="00844A32" w:rsidP="00844A32">
      <w:pPr>
        <w:pStyle w:val="MainBody"/>
        <w:spacing w:after="120"/>
        <w:rPr>
          <w:sz w:val="22"/>
          <w:lang w:val="en"/>
        </w:rPr>
      </w:pPr>
      <w:r w:rsidRPr="00844A32">
        <w:rPr>
          <w:sz w:val="22"/>
          <w:lang w:val="en"/>
        </w:rPr>
        <w:t>- Participants – 9.12 million people;</w:t>
      </w:r>
    </w:p>
    <w:p w14:paraId="61A62F4E" w14:textId="77777777" w:rsidR="00844A32" w:rsidRPr="00844A32" w:rsidRDefault="00844A32" w:rsidP="00844A32">
      <w:pPr>
        <w:pStyle w:val="MainBody"/>
        <w:spacing w:after="120"/>
        <w:rPr>
          <w:sz w:val="22"/>
          <w:lang w:val="en"/>
        </w:rPr>
      </w:pPr>
      <w:r w:rsidRPr="00844A32">
        <w:rPr>
          <w:sz w:val="22"/>
          <w:lang w:val="en"/>
        </w:rPr>
        <w:t>- Total assets – 156.44 billion lei;</w:t>
      </w:r>
    </w:p>
    <w:p w14:paraId="3F71A7D1" w14:textId="77777777" w:rsidR="00844A32" w:rsidRPr="00844A32" w:rsidRDefault="00844A32" w:rsidP="00844A32">
      <w:pPr>
        <w:pStyle w:val="MainBody"/>
        <w:spacing w:after="120"/>
        <w:rPr>
          <w:sz w:val="22"/>
          <w:lang w:val="en"/>
        </w:rPr>
      </w:pPr>
      <w:r w:rsidRPr="00844A32">
        <w:rPr>
          <w:sz w:val="22"/>
          <w:lang w:val="en"/>
        </w:rPr>
        <w:t>- The investment policy was still oriented towards local financial instruments, and within them 72% - fixed income instruments and 23% - shares.</w:t>
      </w:r>
    </w:p>
    <w:p w14:paraId="063FC6A9" w14:textId="77777777" w:rsidR="00844A32" w:rsidRPr="00844A32" w:rsidRDefault="00844A32" w:rsidP="00844A32">
      <w:pPr>
        <w:pStyle w:val="MainBody"/>
        <w:spacing w:after="120"/>
        <w:rPr>
          <w:sz w:val="22"/>
          <w:lang w:val="en"/>
        </w:rPr>
      </w:pPr>
      <w:r w:rsidRPr="00844A32">
        <w:rPr>
          <w:sz w:val="22"/>
          <w:lang w:val="en"/>
        </w:rPr>
        <w:t>- The assets of Pillar II funds represent 96.5%;</w:t>
      </w:r>
    </w:p>
    <w:p w14:paraId="57B4EAAE" w14:textId="77777777" w:rsidR="00844A32" w:rsidRPr="00844A32" w:rsidRDefault="00844A32" w:rsidP="00844A32">
      <w:pPr>
        <w:pStyle w:val="MainBody"/>
        <w:spacing w:after="120"/>
        <w:rPr>
          <w:sz w:val="22"/>
          <w:lang w:val="en"/>
        </w:rPr>
      </w:pPr>
      <w:r w:rsidRPr="00844A32">
        <w:rPr>
          <w:sz w:val="22"/>
          <w:lang w:val="en"/>
        </w:rPr>
        <w:t>- High degree of concentration;</w:t>
      </w:r>
    </w:p>
    <w:p w14:paraId="529BF245" w14:textId="77777777" w:rsidR="00844A32" w:rsidRPr="00844A32" w:rsidRDefault="00844A32" w:rsidP="00844A32">
      <w:pPr>
        <w:pStyle w:val="MainBody"/>
        <w:spacing w:after="120"/>
        <w:rPr>
          <w:sz w:val="22"/>
          <w:lang w:val="ro-RO"/>
        </w:rPr>
      </w:pPr>
      <w:r w:rsidRPr="00844A32">
        <w:rPr>
          <w:sz w:val="22"/>
          <w:lang w:val="en"/>
        </w:rPr>
        <w:t>- Depositories - there are three banks that collect the assets: BRD – GSG – 82%, Raiffeisen Bank – 13.6% and BCR – 4.4%.</w:t>
      </w:r>
    </w:p>
    <w:p w14:paraId="01CCBDEE" w14:textId="77777777" w:rsidR="00844A32" w:rsidRPr="00844A32" w:rsidRDefault="00844A32" w:rsidP="00844A32">
      <w:pPr>
        <w:pStyle w:val="MainBody"/>
        <w:spacing w:after="120"/>
        <w:rPr>
          <w:b/>
          <w:bCs/>
          <w:sz w:val="22"/>
          <w:lang w:val="en"/>
        </w:rPr>
      </w:pPr>
      <w:r w:rsidRPr="00844A32">
        <w:rPr>
          <w:b/>
          <w:bCs/>
          <w:sz w:val="22"/>
          <w:lang w:val="en"/>
        </w:rPr>
        <w:t>d.1. Privately managed pension funds – Pillar II</w:t>
      </w:r>
    </w:p>
    <w:p w14:paraId="269F0211" w14:textId="6C0E4C96" w:rsidR="00844A32" w:rsidRPr="00844A32" w:rsidRDefault="00844A32" w:rsidP="00844A32">
      <w:pPr>
        <w:pStyle w:val="MainBody"/>
        <w:spacing w:after="120"/>
        <w:rPr>
          <w:b/>
          <w:bCs/>
          <w:i/>
          <w:iCs/>
          <w:sz w:val="22"/>
          <w:lang w:val="en"/>
        </w:rPr>
      </w:pPr>
      <w:r w:rsidRPr="00844A32">
        <w:rPr>
          <w:b/>
          <w:bCs/>
          <w:i/>
          <w:iCs/>
          <w:sz w:val="22"/>
          <w:lang w:val="en"/>
        </w:rPr>
        <w:t>a) The total value of assets as of 31.12.2024 was 150.88 billion lei</w:t>
      </w:r>
      <w:r w:rsidR="008802AF">
        <w:rPr>
          <w:b/>
          <w:bCs/>
          <w:i/>
          <w:iCs/>
          <w:sz w:val="22"/>
          <w:lang w:val="en"/>
        </w:rPr>
        <w:t xml:space="preserve"> </w:t>
      </w:r>
      <w:r w:rsidR="008802AF">
        <w:rPr>
          <w:sz w:val="22"/>
          <w:szCs w:val="22"/>
          <w:lang w:val="en"/>
        </w:rPr>
        <w:t>(</w:t>
      </w:r>
      <w:r w:rsidR="008802AF" w:rsidRPr="00D80DA5">
        <w:rPr>
          <w:sz w:val="22"/>
          <w:szCs w:val="22"/>
          <w:lang w:val="en"/>
        </w:rPr>
        <w:t>Financial Supervisory Authority</w:t>
      </w:r>
      <w:r w:rsidR="008802AF">
        <w:rPr>
          <w:sz w:val="22"/>
          <w:szCs w:val="22"/>
          <w:lang w:val="en"/>
        </w:rPr>
        <w:t>, 2024, p. 22).</w:t>
      </w:r>
      <w:r w:rsidRPr="00844A32">
        <w:rPr>
          <w:b/>
          <w:bCs/>
          <w:i/>
          <w:iCs/>
          <w:sz w:val="22"/>
          <w:lang w:val="en"/>
        </w:rPr>
        <w:t xml:space="preserve"> </w:t>
      </w:r>
    </w:p>
    <w:p w14:paraId="3D1F1F45" w14:textId="77777777" w:rsidR="00844A32" w:rsidRPr="00844A32" w:rsidRDefault="00844A32" w:rsidP="00844A32">
      <w:pPr>
        <w:pStyle w:val="MainBody"/>
        <w:spacing w:after="120"/>
        <w:rPr>
          <w:sz w:val="22"/>
          <w:lang w:val="en"/>
        </w:rPr>
      </w:pPr>
      <w:r w:rsidRPr="00844A32">
        <w:rPr>
          <w:sz w:val="22"/>
          <w:lang w:val="en"/>
        </w:rPr>
        <w:t>- FPAP NN – 34%;</w:t>
      </w:r>
    </w:p>
    <w:p w14:paraId="6DFF636B" w14:textId="77777777" w:rsidR="00844A32" w:rsidRPr="00844A32" w:rsidRDefault="00844A32" w:rsidP="00844A32">
      <w:pPr>
        <w:pStyle w:val="MainBody"/>
        <w:spacing w:after="120"/>
        <w:rPr>
          <w:sz w:val="22"/>
          <w:lang w:val="en"/>
        </w:rPr>
      </w:pPr>
      <w:r w:rsidRPr="00844A32">
        <w:rPr>
          <w:sz w:val="22"/>
          <w:lang w:val="en"/>
        </w:rPr>
        <w:t xml:space="preserve">- FPAP AZT </w:t>
      </w:r>
      <w:proofErr w:type="spellStart"/>
      <w:r w:rsidRPr="00844A32">
        <w:rPr>
          <w:sz w:val="22"/>
          <w:lang w:val="en"/>
        </w:rPr>
        <w:t>Viitorul</w:t>
      </w:r>
      <w:proofErr w:type="spellEnd"/>
      <w:r w:rsidRPr="00844A32">
        <w:rPr>
          <w:sz w:val="22"/>
          <w:lang w:val="en"/>
        </w:rPr>
        <w:t xml:space="preserve"> </w:t>
      </w:r>
      <w:proofErr w:type="spellStart"/>
      <w:r w:rsidRPr="00844A32">
        <w:rPr>
          <w:sz w:val="22"/>
          <w:lang w:val="en"/>
        </w:rPr>
        <w:t>Tău</w:t>
      </w:r>
      <w:proofErr w:type="spellEnd"/>
      <w:r w:rsidRPr="00844A32">
        <w:rPr>
          <w:sz w:val="22"/>
          <w:lang w:val="en"/>
        </w:rPr>
        <w:t xml:space="preserve"> – 21%;</w:t>
      </w:r>
    </w:p>
    <w:p w14:paraId="7995F967" w14:textId="77777777" w:rsidR="00844A32" w:rsidRPr="00844A32" w:rsidRDefault="00844A32" w:rsidP="00844A32">
      <w:pPr>
        <w:pStyle w:val="MainBody"/>
        <w:spacing w:after="120"/>
        <w:rPr>
          <w:sz w:val="22"/>
          <w:lang w:val="en"/>
        </w:rPr>
      </w:pPr>
      <w:r w:rsidRPr="00844A32">
        <w:rPr>
          <w:sz w:val="22"/>
          <w:lang w:val="en"/>
        </w:rPr>
        <w:t>- FPAP Metropolitan Life – 14%;</w:t>
      </w:r>
    </w:p>
    <w:p w14:paraId="098DD63D" w14:textId="77777777" w:rsidR="00844A32" w:rsidRPr="00844A32" w:rsidRDefault="00844A32" w:rsidP="00844A32">
      <w:pPr>
        <w:pStyle w:val="MainBody"/>
        <w:spacing w:after="120"/>
        <w:rPr>
          <w:sz w:val="22"/>
          <w:lang w:val="en"/>
        </w:rPr>
      </w:pPr>
      <w:r w:rsidRPr="00844A32">
        <w:rPr>
          <w:sz w:val="22"/>
          <w:lang w:val="en"/>
        </w:rPr>
        <w:t>- FPAP Vital – 10%;</w:t>
      </w:r>
    </w:p>
    <w:p w14:paraId="21609257" w14:textId="77777777" w:rsidR="00844A32" w:rsidRPr="00844A32" w:rsidRDefault="00844A32" w:rsidP="00844A32">
      <w:pPr>
        <w:pStyle w:val="MainBody"/>
        <w:spacing w:after="120"/>
        <w:rPr>
          <w:sz w:val="22"/>
          <w:lang w:val="en"/>
        </w:rPr>
      </w:pPr>
      <w:r w:rsidRPr="00844A32">
        <w:rPr>
          <w:sz w:val="22"/>
          <w:lang w:val="en"/>
        </w:rPr>
        <w:t xml:space="preserve">- FPAP </w:t>
      </w:r>
      <w:proofErr w:type="spellStart"/>
      <w:r w:rsidRPr="00844A32">
        <w:rPr>
          <w:sz w:val="22"/>
          <w:lang w:val="en"/>
        </w:rPr>
        <w:t>Aripi</w:t>
      </w:r>
      <w:proofErr w:type="spellEnd"/>
      <w:r w:rsidRPr="00844A32">
        <w:rPr>
          <w:sz w:val="22"/>
          <w:lang w:val="en"/>
        </w:rPr>
        <w:t xml:space="preserve"> – 9%.</w:t>
      </w:r>
    </w:p>
    <w:p w14:paraId="10DAE595" w14:textId="77777777" w:rsidR="00844A32" w:rsidRPr="00844A32" w:rsidRDefault="00844A32" w:rsidP="00844A32">
      <w:pPr>
        <w:pStyle w:val="MainBody"/>
        <w:spacing w:after="120"/>
        <w:rPr>
          <w:sz w:val="22"/>
          <w:lang w:val="en"/>
        </w:rPr>
      </w:pPr>
      <w:r w:rsidRPr="00844A32">
        <w:rPr>
          <w:sz w:val="22"/>
          <w:lang w:val="en"/>
        </w:rPr>
        <w:t>The privately managed pension fund market is highly concentrated, with the top three funds accounting for 69% of the market share.</w:t>
      </w:r>
    </w:p>
    <w:p w14:paraId="38A62DAA" w14:textId="77777777" w:rsidR="00844A32" w:rsidRPr="00844A32" w:rsidRDefault="00844A32" w:rsidP="00C5789F">
      <w:pPr>
        <w:pStyle w:val="MainBody"/>
        <w:keepNext/>
        <w:spacing w:after="120"/>
        <w:rPr>
          <w:b/>
          <w:bCs/>
          <w:i/>
          <w:iCs/>
          <w:sz w:val="22"/>
          <w:lang w:val="en"/>
        </w:rPr>
      </w:pPr>
      <w:r w:rsidRPr="00844A32">
        <w:rPr>
          <w:b/>
          <w:bCs/>
          <w:i/>
          <w:iCs/>
          <w:sz w:val="22"/>
          <w:lang w:val="en"/>
        </w:rPr>
        <w:lastRenderedPageBreak/>
        <w:t>b) Participants</w:t>
      </w:r>
    </w:p>
    <w:p w14:paraId="5A32B6DC" w14:textId="77777777" w:rsidR="00844A32" w:rsidRPr="00844A32" w:rsidRDefault="00844A32" w:rsidP="00844A32">
      <w:pPr>
        <w:pStyle w:val="MainBody"/>
        <w:spacing w:after="120"/>
        <w:rPr>
          <w:sz w:val="22"/>
          <w:lang w:val="en"/>
        </w:rPr>
      </w:pPr>
      <w:r w:rsidRPr="00844A32">
        <w:rPr>
          <w:sz w:val="22"/>
          <w:lang w:val="en"/>
        </w:rPr>
        <w:t xml:space="preserve">Total = 8.29 million people, 1.68% more than at the end of 2023. By age group, most members are over 35 years old (67%), and young people, who are mandatory members, are 33%, and they are randomly distributed in a proportion of 97%. By gender, men are 52%, and women 48%. </w:t>
      </w:r>
    </w:p>
    <w:p w14:paraId="669E0989" w14:textId="77777777" w:rsidR="00844A32" w:rsidRPr="00844A32" w:rsidRDefault="00844A32" w:rsidP="00844A32">
      <w:pPr>
        <w:pStyle w:val="MainBody"/>
        <w:spacing w:after="120"/>
        <w:rPr>
          <w:b/>
          <w:bCs/>
          <w:i/>
          <w:iCs/>
          <w:sz w:val="22"/>
          <w:lang w:val="en"/>
        </w:rPr>
      </w:pPr>
      <w:r w:rsidRPr="00844A32">
        <w:rPr>
          <w:b/>
          <w:bCs/>
          <w:i/>
          <w:iCs/>
          <w:sz w:val="22"/>
          <w:lang w:val="en"/>
        </w:rPr>
        <w:t>c) Contributions</w:t>
      </w:r>
    </w:p>
    <w:p w14:paraId="57E0B106" w14:textId="77777777" w:rsidR="00844A32" w:rsidRPr="00844A32" w:rsidRDefault="00844A32" w:rsidP="00844A32">
      <w:pPr>
        <w:pStyle w:val="MainBody"/>
        <w:spacing w:after="120"/>
        <w:rPr>
          <w:sz w:val="22"/>
          <w:lang w:val="en"/>
        </w:rPr>
      </w:pPr>
      <w:r w:rsidRPr="00844A32">
        <w:rPr>
          <w:sz w:val="22"/>
          <w:lang w:val="en"/>
        </w:rPr>
        <w:t>In 2024, gross contributions to private pension funds were transferred in the amount of 17.9 billion lei, 40% more than in 2023.</w:t>
      </w:r>
    </w:p>
    <w:p w14:paraId="61F40E5E" w14:textId="77777777" w:rsidR="00844A32" w:rsidRPr="00844A32" w:rsidRDefault="00844A32" w:rsidP="00844A32">
      <w:pPr>
        <w:pStyle w:val="MainBody"/>
        <w:spacing w:after="120"/>
        <w:rPr>
          <w:sz w:val="22"/>
          <w:lang w:val="en"/>
        </w:rPr>
      </w:pPr>
      <w:r w:rsidRPr="00844A32">
        <w:rPr>
          <w:sz w:val="22"/>
          <w:lang w:val="en"/>
        </w:rPr>
        <w:t xml:space="preserve">The average contribution was approximately 384 lei, capital, Bucharest being the top of the list with 505 lei, and </w:t>
      </w:r>
      <w:proofErr w:type="spellStart"/>
      <w:r w:rsidRPr="00844A32">
        <w:rPr>
          <w:sz w:val="22"/>
          <w:lang w:val="en"/>
        </w:rPr>
        <w:t>Vrancea</w:t>
      </w:r>
      <w:proofErr w:type="spellEnd"/>
      <w:r w:rsidRPr="00844A32">
        <w:rPr>
          <w:sz w:val="22"/>
          <w:lang w:val="en"/>
        </w:rPr>
        <w:t xml:space="preserve"> with the lowest contribution was 329 lei.</w:t>
      </w:r>
    </w:p>
    <w:p w14:paraId="6AD80828" w14:textId="77777777" w:rsidR="00844A32" w:rsidRPr="00844A32" w:rsidRDefault="00844A32" w:rsidP="00844A32">
      <w:pPr>
        <w:pStyle w:val="MainBody"/>
        <w:spacing w:after="120"/>
        <w:rPr>
          <w:sz w:val="22"/>
          <w:lang w:val="ro-RO"/>
        </w:rPr>
      </w:pPr>
      <w:r w:rsidRPr="00844A32">
        <w:rPr>
          <w:sz w:val="22"/>
          <w:lang w:val="en"/>
        </w:rPr>
        <w:t xml:space="preserve">By region, Bucharest and the Ilfov region have the highest monthly contributions (377 million lei), followed by Cluj with 70 million and Timiș with 54 million lei. At the bottom of the ranking are Ialomița, Giurgiu and </w:t>
      </w:r>
      <w:proofErr w:type="spellStart"/>
      <w:r w:rsidRPr="00844A32">
        <w:rPr>
          <w:sz w:val="22"/>
          <w:lang w:val="en"/>
        </w:rPr>
        <w:t>Mehedinți</w:t>
      </w:r>
      <w:proofErr w:type="spellEnd"/>
      <w:r w:rsidRPr="00844A32">
        <w:rPr>
          <w:sz w:val="22"/>
          <w:lang w:val="en"/>
        </w:rPr>
        <w:t>.</w:t>
      </w:r>
    </w:p>
    <w:p w14:paraId="308B79BD" w14:textId="77777777" w:rsidR="003810BC" w:rsidRPr="003810BC" w:rsidRDefault="003810BC" w:rsidP="003810BC">
      <w:pPr>
        <w:pStyle w:val="MainBody"/>
        <w:spacing w:after="120"/>
        <w:rPr>
          <w:sz w:val="22"/>
          <w:lang w:val="en"/>
        </w:rPr>
      </w:pPr>
      <w:r w:rsidRPr="003810BC">
        <w:rPr>
          <w:sz w:val="22"/>
          <w:lang w:val="en"/>
        </w:rPr>
        <w:t>According to Pareto's theory, which also applies in this case, 70% of the assets are owned by 25% of the participants.</w:t>
      </w:r>
    </w:p>
    <w:p w14:paraId="71CA10CA" w14:textId="77777777" w:rsidR="003810BC" w:rsidRPr="003810BC" w:rsidRDefault="003810BC" w:rsidP="003810BC">
      <w:pPr>
        <w:pStyle w:val="MainBody"/>
        <w:spacing w:after="120"/>
        <w:rPr>
          <w:b/>
          <w:bCs/>
          <w:i/>
          <w:iCs/>
          <w:sz w:val="22"/>
          <w:lang w:val="en"/>
        </w:rPr>
      </w:pPr>
      <w:r w:rsidRPr="003810BC">
        <w:rPr>
          <w:b/>
          <w:bCs/>
          <w:i/>
          <w:iCs/>
          <w:sz w:val="22"/>
          <w:lang w:val="en"/>
        </w:rPr>
        <w:t>d) Net assets at retirement</w:t>
      </w:r>
    </w:p>
    <w:p w14:paraId="6FF2FA02" w14:textId="1C571EA9" w:rsidR="003810BC" w:rsidRPr="003810BC" w:rsidRDefault="003810BC" w:rsidP="003810BC">
      <w:pPr>
        <w:pStyle w:val="MainBody"/>
        <w:spacing w:after="120"/>
        <w:rPr>
          <w:sz w:val="22"/>
          <w:lang w:val="en"/>
        </w:rPr>
      </w:pPr>
      <w:r w:rsidRPr="003810BC">
        <w:rPr>
          <w:sz w:val="22"/>
          <w:lang w:val="en"/>
        </w:rPr>
        <w:t>During 2024, personal asset payments worth 1.09 billion lei were made to 52,426 participants or beneficiaries</w:t>
      </w:r>
      <w:r w:rsidR="000257CF">
        <w:rPr>
          <w:sz w:val="22"/>
          <w:lang w:val="en"/>
        </w:rPr>
        <w:t xml:space="preserve"> </w:t>
      </w:r>
      <w:r w:rsidR="000257CF">
        <w:rPr>
          <w:sz w:val="22"/>
          <w:szCs w:val="22"/>
          <w:lang w:val="en"/>
        </w:rPr>
        <w:t>(</w:t>
      </w:r>
      <w:r w:rsidR="000257CF" w:rsidRPr="00D80DA5">
        <w:rPr>
          <w:sz w:val="22"/>
          <w:szCs w:val="22"/>
          <w:lang w:val="en"/>
        </w:rPr>
        <w:t>Financial Supervisory Authority</w:t>
      </w:r>
      <w:r w:rsidR="000257CF">
        <w:rPr>
          <w:sz w:val="22"/>
          <w:szCs w:val="22"/>
          <w:lang w:val="en"/>
        </w:rPr>
        <w:t>, 2024, p. 27)</w:t>
      </w:r>
      <w:r w:rsidRPr="003810BC">
        <w:rPr>
          <w:sz w:val="22"/>
          <w:lang w:val="en"/>
        </w:rPr>
        <w:t>. Of the total amounts paid, 56.4% were made as a result of the opening of the right to pension, 16.6% due to the death of the participant, and 27% as a result of the occurrence of disability.</w:t>
      </w:r>
    </w:p>
    <w:p w14:paraId="576E1CD4" w14:textId="77777777" w:rsidR="003810BC" w:rsidRPr="003810BC" w:rsidRDefault="003810BC" w:rsidP="003810BC">
      <w:pPr>
        <w:pStyle w:val="MainBody"/>
        <w:spacing w:after="120"/>
        <w:rPr>
          <w:sz w:val="22"/>
          <w:lang w:val="en"/>
        </w:rPr>
      </w:pPr>
      <w:r w:rsidRPr="003810BC">
        <w:rPr>
          <w:sz w:val="22"/>
          <w:lang w:val="en"/>
        </w:rPr>
        <w:t>As a payment method, 81% of the participants requested full payment, and 19% installment payments.</w:t>
      </w:r>
    </w:p>
    <w:p w14:paraId="3654E5D4" w14:textId="77777777" w:rsidR="003810BC" w:rsidRPr="003810BC" w:rsidRDefault="003810BC" w:rsidP="003810BC">
      <w:pPr>
        <w:pStyle w:val="MainBody"/>
        <w:spacing w:after="120"/>
        <w:rPr>
          <w:b/>
          <w:bCs/>
          <w:i/>
          <w:iCs/>
          <w:sz w:val="22"/>
          <w:lang w:val="en"/>
        </w:rPr>
      </w:pPr>
      <w:r w:rsidRPr="003810BC">
        <w:rPr>
          <w:b/>
          <w:bCs/>
          <w:i/>
          <w:iCs/>
          <w:sz w:val="22"/>
          <w:lang w:val="en"/>
        </w:rPr>
        <w:t xml:space="preserve">e) Investments </w:t>
      </w:r>
    </w:p>
    <w:p w14:paraId="7201D6AC" w14:textId="77777777" w:rsidR="003810BC" w:rsidRPr="003810BC" w:rsidRDefault="003810BC" w:rsidP="003810BC">
      <w:pPr>
        <w:pStyle w:val="MainBody"/>
        <w:spacing w:after="120"/>
        <w:rPr>
          <w:sz w:val="22"/>
          <w:lang w:val="en"/>
        </w:rPr>
      </w:pPr>
      <w:r w:rsidRPr="003810BC">
        <w:rPr>
          <w:sz w:val="22"/>
          <w:lang w:val="en"/>
        </w:rPr>
        <w:t xml:space="preserve">According to the legislation in force, private pension funds place assets very cautiously, mainly in sovereign bonds (67%), especially in government securities. </w:t>
      </w:r>
    </w:p>
    <w:p w14:paraId="4B956A76" w14:textId="47096370" w:rsidR="003810BC" w:rsidRPr="003810BC" w:rsidRDefault="003810BC" w:rsidP="003810BC">
      <w:pPr>
        <w:pStyle w:val="MainBody"/>
        <w:spacing w:after="120"/>
        <w:rPr>
          <w:sz w:val="22"/>
          <w:lang w:val="en"/>
        </w:rPr>
      </w:pPr>
      <w:r w:rsidRPr="003810BC">
        <w:rPr>
          <w:sz w:val="22"/>
          <w:lang w:val="en"/>
        </w:rPr>
        <w:t>The orientation of the shares is towards those listed on the stock exchange (23%), which demonstrate transparency in terms of financial results, for the development of the primary and secondary market</w:t>
      </w:r>
      <w:r w:rsidR="000257CF">
        <w:rPr>
          <w:sz w:val="22"/>
          <w:lang w:val="en"/>
        </w:rPr>
        <w:t xml:space="preserve"> </w:t>
      </w:r>
      <w:r w:rsidR="000257CF">
        <w:rPr>
          <w:sz w:val="22"/>
          <w:szCs w:val="22"/>
          <w:lang w:val="en"/>
        </w:rPr>
        <w:t>(</w:t>
      </w:r>
      <w:r w:rsidR="000257CF" w:rsidRPr="00D80DA5">
        <w:rPr>
          <w:sz w:val="22"/>
          <w:szCs w:val="22"/>
          <w:lang w:val="en"/>
        </w:rPr>
        <w:t>Financial Supervisory Authority</w:t>
      </w:r>
      <w:r w:rsidR="000257CF">
        <w:rPr>
          <w:sz w:val="22"/>
          <w:szCs w:val="22"/>
          <w:lang w:val="en"/>
        </w:rPr>
        <w:t>, 2024, p. 28-29)</w:t>
      </w:r>
      <w:r w:rsidRPr="003810BC">
        <w:rPr>
          <w:sz w:val="22"/>
          <w:lang w:val="en"/>
        </w:rPr>
        <w:t xml:space="preserve">. </w:t>
      </w:r>
    </w:p>
    <w:p w14:paraId="3E2212F3" w14:textId="77777777" w:rsidR="003810BC" w:rsidRPr="003810BC" w:rsidRDefault="003810BC" w:rsidP="003810BC">
      <w:pPr>
        <w:pStyle w:val="MainBody"/>
        <w:spacing w:after="120"/>
        <w:rPr>
          <w:sz w:val="22"/>
          <w:lang w:val="en"/>
        </w:rPr>
      </w:pPr>
      <w:r w:rsidRPr="003810BC">
        <w:rPr>
          <w:sz w:val="22"/>
          <w:lang w:val="en"/>
        </w:rPr>
        <w:t xml:space="preserve">To these we add: corporate bonds – 4.51%, investment funds – 2.80%, bank deposits and current accounts – 1.93%. </w:t>
      </w:r>
    </w:p>
    <w:p w14:paraId="3C3DC533" w14:textId="77777777" w:rsidR="003810BC" w:rsidRPr="003810BC" w:rsidRDefault="003810BC" w:rsidP="003810BC">
      <w:pPr>
        <w:pStyle w:val="MainBody"/>
        <w:spacing w:after="120"/>
        <w:rPr>
          <w:b/>
          <w:bCs/>
          <w:i/>
          <w:iCs/>
          <w:sz w:val="22"/>
          <w:lang w:val="en"/>
        </w:rPr>
      </w:pPr>
      <w:r w:rsidRPr="003810BC">
        <w:rPr>
          <w:b/>
          <w:bCs/>
          <w:i/>
          <w:iCs/>
          <w:sz w:val="22"/>
          <w:lang w:val="en"/>
        </w:rPr>
        <w:t>f) Profitability</w:t>
      </w:r>
    </w:p>
    <w:p w14:paraId="28C315F6" w14:textId="77777777" w:rsidR="003810BC" w:rsidRPr="003810BC" w:rsidRDefault="003810BC" w:rsidP="003810BC">
      <w:pPr>
        <w:pStyle w:val="MainBody"/>
        <w:spacing w:after="120"/>
        <w:rPr>
          <w:sz w:val="22"/>
          <w:lang w:val="en"/>
        </w:rPr>
      </w:pPr>
      <w:r w:rsidRPr="003810BC">
        <w:rPr>
          <w:sz w:val="22"/>
          <w:lang w:val="en"/>
        </w:rPr>
        <w:t>The rate of return of the main pension funds is as follows:</w:t>
      </w:r>
    </w:p>
    <w:p w14:paraId="5F2E4F70" w14:textId="77777777" w:rsidR="003810BC" w:rsidRPr="003810BC" w:rsidRDefault="003810BC" w:rsidP="003810BC">
      <w:pPr>
        <w:pStyle w:val="MainBody"/>
        <w:spacing w:after="120"/>
        <w:rPr>
          <w:sz w:val="22"/>
          <w:lang w:val="en"/>
        </w:rPr>
      </w:pPr>
      <w:r w:rsidRPr="003810BC">
        <w:rPr>
          <w:sz w:val="22"/>
          <w:lang w:val="en"/>
        </w:rPr>
        <w:t xml:space="preserve">- </w:t>
      </w:r>
      <w:proofErr w:type="spellStart"/>
      <w:r w:rsidRPr="003810BC">
        <w:rPr>
          <w:sz w:val="22"/>
          <w:lang w:val="en"/>
        </w:rPr>
        <w:t>Aripi</w:t>
      </w:r>
      <w:proofErr w:type="spellEnd"/>
      <w:r w:rsidRPr="003810BC">
        <w:rPr>
          <w:sz w:val="22"/>
          <w:lang w:val="en"/>
        </w:rPr>
        <w:t xml:space="preserve"> – 6.81%;</w:t>
      </w:r>
    </w:p>
    <w:p w14:paraId="0EAA6A0F" w14:textId="77777777" w:rsidR="003810BC" w:rsidRPr="003810BC" w:rsidRDefault="003810BC" w:rsidP="003810BC">
      <w:pPr>
        <w:pStyle w:val="MainBody"/>
        <w:spacing w:after="120"/>
        <w:rPr>
          <w:sz w:val="22"/>
          <w:lang w:val="en"/>
        </w:rPr>
      </w:pPr>
      <w:r w:rsidRPr="003810BC">
        <w:rPr>
          <w:sz w:val="22"/>
          <w:lang w:val="en"/>
        </w:rPr>
        <w:t xml:space="preserve">- AZT </w:t>
      </w:r>
      <w:proofErr w:type="spellStart"/>
      <w:r w:rsidRPr="003810BC">
        <w:rPr>
          <w:sz w:val="22"/>
          <w:lang w:val="en"/>
        </w:rPr>
        <w:t>Viitorul</w:t>
      </w:r>
      <w:proofErr w:type="spellEnd"/>
      <w:r w:rsidRPr="003810BC">
        <w:rPr>
          <w:sz w:val="22"/>
          <w:lang w:val="en"/>
        </w:rPr>
        <w:t xml:space="preserve"> </w:t>
      </w:r>
      <w:proofErr w:type="spellStart"/>
      <w:r w:rsidRPr="003810BC">
        <w:rPr>
          <w:sz w:val="22"/>
          <w:lang w:val="en"/>
        </w:rPr>
        <w:t>Tău</w:t>
      </w:r>
      <w:proofErr w:type="spellEnd"/>
      <w:r w:rsidRPr="003810BC">
        <w:rPr>
          <w:sz w:val="22"/>
          <w:lang w:val="en"/>
        </w:rPr>
        <w:t xml:space="preserve"> – 6.02%;</w:t>
      </w:r>
    </w:p>
    <w:p w14:paraId="3AB38A48" w14:textId="77777777" w:rsidR="003810BC" w:rsidRPr="003810BC" w:rsidRDefault="003810BC" w:rsidP="003810BC">
      <w:pPr>
        <w:pStyle w:val="MainBody"/>
        <w:spacing w:after="120"/>
        <w:rPr>
          <w:sz w:val="22"/>
          <w:lang w:val="en"/>
        </w:rPr>
      </w:pPr>
      <w:r w:rsidRPr="003810BC">
        <w:rPr>
          <w:sz w:val="22"/>
          <w:lang w:val="en"/>
        </w:rPr>
        <w:t>- BCR – 5.89%;</w:t>
      </w:r>
    </w:p>
    <w:p w14:paraId="14CCB4EA" w14:textId="77777777" w:rsidR="003810BC" w:rsidRPr="003810BC" w:rsidRDefault="003810BC" w:rsidP="003810BC">
      <w:pPr>
        <w:pStyle w:val="MainBody"/>
        <w:spacing w:after="120"/>
        <w:rPr>
          <w:sz w:val="22"/>
          <w:lang w:val="en"/>
        </w:rPr>
      </w:pPr>
      <w:r w:rsidRPr="003810BC">
        <w:rPr>
          <w:sz w:val="22"/>
          <w:lang w:val="en"/>
        </w:rPr>
        <w:t>- BRD – 5.51%;</w:t>
      </w:r>
    </w:p>
    <w:p w14:paraId="0C4536CC" w14:textId="77777777" w:rsidR="003810BC" w:rsidRPr="003810BC" w:rsidRDefault="003810BC" w:rsidP="003810BC">
      <w:pPr>
        <w:pStyle w:val="MainBody"/>
        <w:spacing w:after="120"/>
        <w:rPr>
          <w:sz w:val="22"/>
          <w:lang w:val="en"/>
        </w:rPr>
      </w:pPr>
      <w:r w:rsidRPr="003810BC">
        <w:rPr>
          <w:sz w:val="22"/>
          <w:lang w:val="en"/>
        </w:rPr>
        <w:t>- Metropolitan Life – 6.28%;</w:t>
      </w:r>
    </w:p>
    <w:p w14:paraId="5653F604" w14:textId="77777777" w:rsidR="003810BC" w:rsidRPr="003810BC" w:rsidRDefault="003810BC" w:rsidP="003810BC">
      <w:pPr>
        <w:pStyle w:val="MainBody"/>
        <w:spacing w:after="120"/>
        <w:rPr>
          <w:sz w:val="22"/>
          <w:lang w:val="en"/>
        </w:rPr>
      </w:pPr>
      <w:r w:rsidRPr="003810BC">
        <w:rPr>
          <w:sz w:val="22"/>
          <w:lang w:val="en"/>
        </w:rPr>
        <w:t>- NN – 6.30%.</w:t>
      </w:r>
    </w:p>
    <w:p w14:paraId="6E11E359" w14:textId="77777777" w:rsidR="003810BC" w:rsidRPr="003810BC" w:rsidRDefault="003810BC" w:rsidP="003810BC">
      <w:pPr>
        <w:pStyle w:val="MainBody"/>
        <w:spacing w:after="120"/>
        <w:rPr>
          <w:sz w:val="22"/>
          <w:lang w:val="ro-RO"/>
        </w:rPr>
      </w:pPr>
      <w:r w:rsidRPr="003810BC">
        <w:rPr>
          <w:b/>
          <w:bCs/>
          <w:i/>
          <w:iCs/>
          <w:sz w:val="22"/>
          <w:lang w:val="en"/>
        </w:rPr>
        <w:t>g) Depositories</w:t>
      </w:r>
      <w:r w:rsidRPr="003810BC">
        <w:rPr>
          <w:sz w:val="22"/>
          <w:lang w:val="en"/>
        </w:rPr>
        <w:t xml:space="preserve"> - BRD holds 81% of the assets, followed by Raiffeisen Bank with 14%.</w:t>
      </w:r>
    </w:p>
    <w:p w14:paraId="753D2A73" w14:textId="77777777" w:rsidR="00B62953" w:rsidRPr="00B62953" w:rsidRDefault="00B62953" w:rsidP="00B62953">
      <w:pPr>
        <w:pStyle w:val="MainBody"/>
        <w:spacing w:after="120"/>
        <w:rPr>
          <w:b/>
          <w:bCs/>
          <w:sz w:val="22"/>
          <w:lang w:val="en"/>
        </w:rPr>
      </w:pPr>
      <w:r w:rsidRPr="00B62953">
        <w:rPr>
          <w:b/>
          <w:bCs/>
          <w:sz w:val="22"/>
          <w:lang w:val="en"/>
        </w:rPr>
        <w:t>d.2. Voluntary pension funds – Pillar III</w:t>
      </w:r>
    </w:p>
    <w:p w14:paraId="46926DCC" w14:textId="77777777" w:rsidR="00B62953" w:rsidRPr="00B62953" w:rsidRDefault="00B62953" w:rsidP="00B62953">
      <w:pPr>
        <w:pStyle w:val="MainBody"/>
        <w:spacing w:after="120"/>
        <w:rPr>
          <w:sz w:val="22"/>
          <w:lang w:val="en"/>
        </w:rPr>
      </w:pPr>
      <w:r w:rsidRPr="00B62953">
        <w:rPr>
          <w:sz w:val="22"/>
          <w:lang w:val="en"/>
        </w:rPr>
        <w:t>As of 31.12.2024, there were:</w:t>
      </w:r>
    </w:p>
    <w:p w14:paraId="7A8AF3DD" w14:textId="6E6595DB" w:rsidR="00B62953" w:rsidRPr="00513956" w:rsidRDefault="00B62953" w:rsidP="00B62953">
      <w:pPr>
        <w:pStyle w:val="MainBody"/>
        <w:spacing w:after="120"/>
        <w:rPr>
          <w:spacing w:val="-4"/>
          <w:sz w:val="22"/>
          <w:lang w:val="en"/>
        </w:rPr>
      </w:pPr>
      <w:r w:rsidRPr="00513956">
        <w:rPr>
          <w:spacing w:val="-4"/>
          <w:sz w:val="22"/>
          <w:lang w:val="en"/>
        </w:rPr>
        <w:t xml:space="preserve">- Voluntary pension funds, registered in the Electronic Register of the </w:t>
      </w:r>
      <w:r w:rsidR="000365A5" w:rsidRPr="00513956">
        <w:rPr>
          <w:spacing w:val="-4"/>
          <w:sz w:val="22"/>
          <w:szCs w:val="22"/>
          <w:lang w:val="en"/>
        </w:rPr>
        <w:t>Financial Supervisory Authority</w:t>
      </w:r>
      <w:r w:rsidR="000365A5" w:rsidRPr="00513956">
        <w:rPr>
          <w:spacing w:val="-4"/>
          <w:sz w:val="22"/>
          <w:lang w:val="en"/>
        </w:rPr>
        <w:t xml:space="preserve"> </w:t>
      </w:r>
      <w:r w:rsidRPr="00513956">
        <w:rPr>
          <w:spacing w:val="-4"/>
          <w:sz w:val="22"/>
          <w:lang w:val="en"/>
        </w:rPr>
        <w:t>– 10;</w:t>
      </w:r>
    </w:p>
    <w:p w14:paraId="3FBA4D70" w14:textId="77777777" w:rsidR="00B62953" w:rsidRPr="00B62953" w:rsidRDefault="00B62953" w:rsidP="00B62953">
      <w:pPr>
        <w:pStyle w:val="MainBody"/>
        <w:spacing w:after="120"/>
        <w:rPr>
          <w:sz w:val="22"/>
          <w:lang w:val="en"/>
        </w:rPr>
      </w:pPr>
      <w:r w:rsidRPr="00B62953">
        <w:rPr>
          <w:sz w:val="22"/>
          <w:lang w:val="en"/>
        </w:rPr>
        <w:t>- Private pension fund administrators – 8;</w:t>
      </w:r>
    </w:p>
    <w:p w14:paraId="693987BE" w14:textId="77777777" w:rsidR="00B62953" w:rsidRPr="00B62953" w:rsidRDefault="00B62953" w:rsidP="00B62953">
      <w:pPr>
        <w:pStyle w:val="MainBody"/>
        <w:spacing w:after="120"/>
        <w:rPr>
          <w:sz w:val="22"/>
          <w:lang w:val="en"/>
        </w:rPr>
      </w:pPr>
      <w:r w:rsidRPr="00B62953">
        <w:rPr>
          <w:sz w:val="22"/>
          <w:lang w:val="en"/>
        </w:rPr>
        <w:t>- Depositories – 2.</w:t>
      </w:r>
    </w:p>
    <w:p w14:paraId="5F197DDB" w14:textId="77777777" w:rsidR="00B62953" w:rsidRPr="00B62953" w:rsidRDefault="00B62953" w:rsidP="00B62953">
      <w:pPr>
        <w:pStyle w:val="MainBody"/>
        <w:spacing w:after="120"/>
        <w:rPr>
          <w:b/>
          <w:bCs/>
          <w:i/>
          <w:iCs/>
          <w:sz w:val="22"/>
          <w:lang w:val="en"/>
        </w:rPr>
      </w:pPr>
      <w:r w:rsidRPr="00B62953">
        <w:rPr>
          <w:b/>
          <w:bCs/>
          <w:i/>
          <w:iCs/>
          <w:sz w:val="22"/>
          <w:lang w:val="en"/>
        </w:rPr>
        <w:lastRenderedPageBreak/>
        <w:t>a) Asset value</w:t>
      </w:r>
    </w:p>
    <w:p w14:paraId="6FFE21BB" w14:textId="3C42386F" w:rsidR="00B62953" w:rsidRPr="00B62953" w:rsidRDefault="00B62953" w:rsidP="00B62953">
      <w:pPr>
        <w:pStyle w:val="MainBody"/>
        <w:spacing w:after="120"/>
        <w:rPr>
          <w:sz w:val="22"/>
          <w:lang w:val="en"/>
        </w:rPr>
      </w:pPr>
      <w:r w:rsidRPr="00B62953">
        <w:rPr>
          <w:sz w:val="22"/>
          <w:lang w:val="en"/>
        </w:rPr>
        <w:t>The total value of assets was 5.55 billion lei</w:t>
      </w:r>
      <w:r w:rsidR="0057392C">
        <w:rPr>
          <w:sz w:val="22"/>
          <w:lang w:val="en"/>
        </w:rPr>
        <w:t xml:space="preserve"> </w:t>
      </w:r>
      <w:r w:rsidR="0057392C">
        <w:rPr>
          <w:sz w:val="22"/>
          <w:szCs w:val="22"/>
          <w:lang w:val="en"/>
        </w:rPr>
        <w:t>(</w:t>
      </w:r>
      <w:r w:rsidR="0057392C" w:rsidRPr="00D80DA5">
        <w:rPr>
          <w:sz w:val="22"/>
          <w:szCs w:val="22"/>
          <w:lang w:val="en"/>
        </w:rPr>
        <w:t>Financial Supervisory Authority</w:t>
      </w:r>
      <w:r w:rsidR="0057392C">
        <w:rPr>
          <w:sz w:val="22"/>
          <w:szCs w:val="22"/>
          <w:lang w:val="en"/>
        </w:rPr>
        <w:t>, 2024, p. 37)</w:t>
      </w:r>
      <w:r w:rsidRPr="00B62953">
        <w:rPr>
          <w:sz w:val="22"/>
          <w:lang w:val="en"/>
        </w:rPr>
        <w:t>, 17% higher than in Dec. 2023.</w:t>
      </w:r>
    </w:p>
    <w:p w14:paraId="036107B6" w14:textId="77777777" w:rsidR="00B62953" w:rsidRPr="00B62953" w:rsidRDefault="00B62953" w:rsidP="00B62953">
      <w:pPr>
        <w:pStyle w:val="MainBody"/>
        <w:spacing w:after="120"/>
        <w:rPr>
          <w:sz w:val="22"/>
          <w:lang w:val="en"/>
        </w:rPr>
      </w:pPr>
      <w:r w:rsidRPr="00B62953">
        <w:rPr>
          <w:sz w:val="22"/>
          <w:lang w:val="en"/>
        </w:rPr>
        <w:t>In the case of voluntary funds, there is also a high degree of concentration, much more pronounced than in the case of Pillar II, in the sense that the first three funds hold 70% of the market share, and NN funds have collected more than half of the assets:</w:t>
      </w:r>
    </w:p>
    <w:p w14:paraId="3C717F80" w14:textId="77777777" w:rsidR="00B62953" w:rsidRPr="00B62953" w:rsidRDefault="00B62953" w:rsidP="00B62953">
      <w:pPr>
        <w:pStyle w:val="MainBody"/>
        <w:spacing w:after="120"/>
        <w:rPr>
          <w:sz w:val="22"/>
          <w:lang w:val="en"/>
        </w:rPr>
      </w:pPr>
      <w:r w:rsidRPr="00B62953">
        <w:rPr>
          <w:sz w:val="22"/>
          <w:lang w:val="en"/>
        </w:rPr>
        <w:t xml:space="preserve">- FPF NN </w:t>
      </w:r>
      <w:proofErr w:type="spellStart"/>
      <w:r w:rsidRPr="00B62953">
        <w:rPr>
          <w:sz w:val="22"/>
          <w:lang w:val="en"/>
        </w:rPr>
        <w:t>Optim</w:t>
      </w:r>
      <w:proofErr w:type="spellEnd"/>
      <w:r w:rsidRPr="00B62953">
        <w:rPr>
          <w:sz w:val="22"/>
          <w:lang w:val="en"/>
        </w:rPr>
        <w:t xml:space="preserve"> – 43.7%;</w:t>
      </w:r>
    </w:p>
    <w:p w14:paraId="693515AF" w14:textId="77777777" w:rsidR="00B62953" w:rsidRPr="00B62953" w:rsidRDefault="00B62953" w:rsidP="00B62953">
      <w:pPr>
        <w:pStyle w:val="MainBody"/>
        <w:spacing w:after="120"/>
        <w:rPr>
          <w:sz w:val="22"/>
          <w:lang w:val="en"/>
        </w:rPr>
      </w:pPr>
      <w:r w:rsidRPr="00B62953">
        <w:rPr>
          <w:sz w:val="22"/>
          <w:lang w:val="en"/>
        </w:rPr>
        <w:t>- FPF BCR Plus – 15.2%;</w:t>
      </w:r>
    </w:p>
    <w:p w14:paraId="348DBFA7" w14:textId="77777777" w:rsidR="00B62953" w:rsidRPr="00B62953" w:rsidRDefault="00B62953" w:rsidP="00B62953">
      <w:pPr>
        <w:pStyle w:val="MainBody"/>
        <w:spacing w:after="120"/>
        <w:rPr>
          <w:sz w:val="22"/>
          <w:lang w:val="en"/>
        </w:rPr>
      </w:pPr>
      <w:r w:rsidRPr="00B62953">
        <w:rPr>
          <w:sz w:val="22"/>
          <w:lang w:val="en"/>
        </w:rPr>
        <w:t xml:space="preserve">- FPF NN </w:t>
      </w:r>
      <w:proofErr w:type="spellStart"/>
      <w:r w:rsidRPr="00B62953">
        <w:rPr>
          <w:sz w:val="22"/>
          <w:lang w:val="en"/>
        </w:rPr>
        <w:t>Activ</w:t>
      </w:r>
      <w:proofErr w:type="spellEnd"/>
      <w:r w:rsidRPr="00B62953">
        <w:rPr>
          <w:sz w:val="22"/>
          <w:lang w:val="en"/>
        </w:rPr>
        <w:t xml:space="preserve"> – 12.7%;</w:t>
      </w:r>
    </w:p>
    <w:p w14:paraId="3CFE44C8" w14:textId="77777777" w:rsidR="00B62953" w:rsidRPr="00B62953" w:rsidRDefault="00B62953" w:rsidP="00B62953">
      <w:pPr>
        <w:pStyle w:val="MainBody"/>
        <w:spacing w:after="120"/>
        <w:rPr>
          <w:sz w:val="22"/>
          <w:lang w:val="en"/>
        </w:rPr>
      </w:pPr>
      <w:r w:rsidRPr="00B62953">
        <w:rPr>
          <w:sz w:val="22"/>
          <w:lang w:val="en"/>
        </w:rPr>
        <w:t>- FPF AZT Moderato – 9.2%;</w:t>
      </w:r>
    </w:p>
    <w:p w14:paraId="01A181B4" w14:textId="77777777" w:rsidR="00B62953" w:rsidRPr="00B62953" w:rsidRDefault="00B62953" w:rsidP="00B62953">
      <w:pPr>
        <w:pStyle w:val="MainBody"/>
        <w:spacing w:after="120"/>
        <w:rPr>
          <w:sz w:val="22"/>
          <w:lang w:val="en"/>
        </w:rPr>
      </w:pPr>
      <w:r w:rsidRPr="00B62953">
        <w:rPr>
          <w:sz w:val="22"/>
          <w:lang w:val="en"/>
        </w:rPr>
        <w:t xml:space="preserve">- FPF </w:t>
      </w:r>
      <w:proofErr w:type="spellStart"/>
      <w:r w:rsidRPr="00B62953">
        <w:rPr>
          <w:sz w:val="22"/>
          <w:lang w:val="en"/>
        </w:rPr>
        <w:t>Pensia</w:t>
      </w:r>
      <w:proofErr w:type="spellEnd"/>
      <w:r w:rsidRPr="00B62953">
        <w:rPr>
          <w:sz w:val="22"/>
          <w:lang w:val="en"/>
        </w:rPr>
        <w:t xml:space="preserve"> </w:t>
      </w:r>
      <w:proofErr w:type="spellStart"/>
      <w:r w:rsidRPr="00B62953">
        <w:rPr>
          <w:sz w:val="22"/>
          <w:lang w:val="en"/>
        </w:rPr>
        <w:t>mea</w:t>
      </w:r>
      <w:proofErr w:type="spellEnd"/>
      <w:r w:rsidRPr="00B62953">
        <w:rPr>
          <w:sz w:val="22"/>
          <w:lang w:val="en"/>
        </w:rPr>
        <w:t xml:space="preserve"> – 5.2%.</w:t>
      </w:r>
    </w:p>
    <w:p w14:paraId="2BF99016" w14:textId="77777777" w:rsidR="00B62953" w:rsidRPr="00B62953" w:rsidRDefault="00B62953" w:rsidP="00B62953">
      <w:pPr>
        <w:pStyle w:val="MainBody"/>
        <w:spacing w:after="120"/>
        <w:rPr>
          <w:b/>
          <w:bCs/>
          <w:i/>
          <w:iCs/>
          <w:sz w:val="22"/>
          <w:lang w:val="en"/>
        </w:rPr>
      </w:pPr>
      <w:r w:rsidRPr="00B62953">
        <w:rPr>
          <w:b/>
          <w:bCs/>
          <w:i/>
          <w:iCs/>
          <w:sz w:val="22"/>
          <w:lang w:val="en"/>
        </w:rPr>
        <w:t>b) Participants</w:t>
      </w:r>
    </w:p>
    <w:p w14:paraId="20197097" w14:textId="77777777" w:rsidR="00B62953" w:rsidRPr="00B62953" w:rsidRDefault="00B62953" w:rsidP="00B62953">
      <w:pPr>
        <w:pStyle w:val="MainBody"/>
        <w:spacing w:after="120"/>
        <w:rPr>
          <w:sz w:val="22"/>
          <w:lang w:val="en"/>
        </w:rPr>
      </w:pPr>
      <w:r w:rsidRPr="00B62953">
        <w:rPr>
          <w:sz w:val="22"/>
          <w:lang w:val="en"/>
        </w:rPr>
        <w:t>At the end of 2024, there were 832,538 participants in the administrators' records, 17% more than in 2023. In the reference year alone, 134,343 people signed up, 40% more than in the previous year.</w:t>
      </w:r>
    </w:p>
    <w:p w14:paraId="0B01129C" w14:textId="77777777" w:rsidR="00B62953" w:rsidRPr="00B62953" w:rsidRDefault="00B62953" w:rsidP="00B62953">
      <w:pPr>
        <w:pStyle w:val="MainBody"/>
        <w:spacing w:after="120"/>
        <w:rPr>
          <w:sz w:val="22"/>
          <w:lang w:val="ro-RO"/>
        </w:rPr>
      </w:pPr>
      <w:r w:rsidRPr="00B62953">
        <w:rPr>
          <w:sz w:val="22"/>
          <w:lang w:val="en"/>
        </w:rPr>
        <w:t>Regarding the structure of participants by age group, we note that most members are in the over 45 age segment (57.4%), and the fewest, 6.9%, are between 15-29 years old. The distribution by gender is balanced, almost equal.</w:t>
      </w:r>
    </w:p>
    <w:p w14:paraId="47E7CE27" w14:textId="77777777" w:rsidR="00FC02E9" w:rsidRPr="00FC02E9" w:rsidRDefault="00FC02E9" w:rsidP="00FC02E9">
      <w:pPr>
        <w:pStyle w:val="MainBody"/>
        <w:spacing w:after="120"/>
        <w:rPr>
          <w:b/>
          <w:bCs/>
          <w:i/>
          <w:iCs/>
          <w:sz w:val="22"/>
          <w:lang w:val="en"/>
        </w:rPr>
      </w:pPr>
      <w:r w:rsidRPr="00FC02E9">
        <w:rPr>
          <w:b/>
          <w:bCs/>
          <w:i/>
          <w:iCs/>
          <w:sz w:val="22"/>
          <w:lang w:val="en"/>
        </w:rPr>
        <w:t>c) Contributions</w:t>
      </w:r>
    </w:p>
    <w:p w14:paraId="22DC8670" w14:textId="77777777" w:rsidR="00FC02E9" w:rsidRPr="00FC02E9" w:rsidRDefault="00FC02E9" w:rsidP="00FC02E9">
      <w:pPr>
        <w:pStyle w:val="MainBody"/>
        <w:spacing w:after="120"/>
        <w:rPr>
          <w:sz w:val="22"/>
          <w:lang w:val="en"/>
        </w:rPr>
      </w:pPr>
      <w:r w:rsidRPr="00FC02E9">
        <w:rPr>
          <w:sz w:val="22"/>
          <w:lang w:val="en"/>
        </w:rPr>
        <w:t>In 2024, contributions worth 752 million lei were transferred, 25% more than in 2023.</w:t>
      </w:r>
    </w:p>
    <w:p w14:paraId="011E291E" w14:textId="77777777" w:rsidR="00FC02E9" w:rsidRPr="00FC02E9" w:rsidRDefault="00FC02E9" w:rsidP="00FC02E9">
      <w:pPr>
        <w:pStyle w:val="MainBody"/>
        <w:spacing w:after="120"/>
        <w:rPr>
          <w:sz w:val="22"/>
          <w:lang w:val="en"/>
        </w:rPr>
      </w:pPr>
      <w:r w:rsidRPr="00FC02E9">
        <w:rPr>
          <w:sz w:val="22"/>
          <w:lang w:val="en"/>
        </w:rPr>
        <w:t>Average contribution/participant = 185 lei, 10% higher than in 2023.</w:t>
      </w:r>
    </w:p>
    <w:p w14:paraId="7D1C20BD" w14:textId="77777777" w:rsidR="00FC02E9" w:rsidRPr="00FC02E9" w:rsidRDefault="00FC02E9" w:rsidP="00FC02E9">
      <w:pPr>
        <w:pStyle w:val="MainBody"/>
        <w:spacing w:after="120"/>
        <w:rPr>
          <w:sz w:val="22"/>
          <w:lang w:val="en"/>
        </w:rPr>
      </w:pPr>
      <w:r w:rsidRPr="00FC02E9">
        <w:rPr>
          <w:sz w:val="22"/>
          <w:lang w:val="en"/>
        </w:rPr>
        <w:t>Concentration is the word that characterizes the assets managed: 10% of the participants own 51% of the assets.</w:t>
      </w:r>
    </w:p>
    <w:p w14:paraId="3B20DF62" w14:textId="77777777" w:rsidR="00FC02E9" w:rsidRPr="00FC02E9" w:rsidRDefault="00FC02E9" w:rsidP="00FC02E9">
      <w:pPr>
        <w:pStyle w:val="MainBody"/>
        <w:spacing w:after="120"/>
        <w:rPr>
          <w:b/>
          <w:bCs/>
          <w:i/>
          <w:iCs/>
          <w:sz w:val="22"/>
          <w:lang w:val="en"/>
        </w:rPr>
      </w:pPr>
      <w:r w:rsidRPr="00FC02E9">
        <w:rPr>
          <w:b/>
          <w:bCs/>
          <w:i/>
          <w:iCs/>
          <w:sz w:val="22"/>
          <w:lang w:val="en"/>
        </w:rPr>
        <w:t>d) Payment of net assets</w:t>
      </w:r>
    </w:p>
    <w:p w14:paraId="77268731" w14:textId="77777777" w:rsidR="00FC02E9" w:rsidRPr="00FC02E9" w:rsidRDefault="00FC02E9" w:rsidP="00FC02E9">
      <w:pPr>
        <w:pStyle w:val="MainBody"/>
        <w:spacing w:after="120"/>
        <w:rPr>
          <w:sz w:val="22"/>
          <w:lang w:val="en"/>
        </w:rPr>
      </w:pPr>
      <w:r w:rsidRPr="00FC02E9">
        <w:rPr>
          <w:sz w:val="22"/>
          <w:lang w:val="en"/>
        </w:rPr>
        <w:t>Assets worth 149 million lei were transferred to 11,611 participants or beneficiaries. Of this amount, 89% were paid as a result of the opening of the right to pension, 6.1% - the death of the participant and 5.2% the disability of the contributor.</w:t>
      </w:r>
    </w:p>
    <w:p w14:paraId="1C1D65C7" w14:textId="77777777" w:rsidR="00FC02E9" w:rsidRPr="00FC02E9" w:rsidRDefault="00FC02E9" w:rsidP="00FC02E9">
      <w:pPr>
        <w:pStyle w:val="MainBody"/>
        <w:spacing w:after="120"/>
        <w:rPr>
          <w:sz w:val="22"/>
          <w:lang w:val="en"/>
        </w:rPr>
      </w:pPr>
      <w:r w:rsidRPr="00FC02E9">
        <w:rPr>
          <w:sz w:val="22"/>
          <w:lang w:val="en"/>
        </w:rPr>
        <w:t>As a payment method, 7.8% chose a single payment, and 22% an installment payment.</w:t>
      </w:r>
    </w:p>
    <w:p w14:paraId="2ED64A40" w14:textId="77777777" w:rsidR="00FC02E9" w:rsidRPr="00FC02E9" w:rsidRDefault="00FC02E9" w:rsidP="00FC02E9">
      <w:pPr>
        <w:pStyle w:val="MainBody"/>
        <w:spacing w:after="120"/>
        <w:rPr>
          <w:b/>
          <w:bCs/>
          <w:i/>
          <w:iCs/>
          <w:sz w:val="22"/>
          <w:lang w:val="en"/>
        </w:rPr>
      </w:pPr>
      <w:r w:rsidRPr="00FC02E9">
        <w:rPr>
          <w:b/>
          <w:bCs/>
          <w:i/>
          <w:iCs/>
          <w:sz w:val="22"/>
          <w:lang w:val="en"/>
        </w:rPr>
        <w:t>e) Investments</w:t>
      </w:r>
    </w:p>
    <w:p w14:paraId="6DEB539C" w14:textId="77777777" w:rsidR="00FC02E9" w:rsidRPr="00FC02E9" w:rsidRDefault="00FC02E9" w:rsidP="00FC02E9">
      <w:pPr>
        <w:pStyle w:val="MainBody"/>
        <w:spacing w:after="120"/>
        <w:rPr>
          <w:sz w:val="22"/>
          <w:lang w:val="en"/>
        </w:rPr>
      </w:pPr>
      <w:r w:rsidRPr="00FC02E9">
        <w:rPr>
          <w:sz w:val="22"/>
          <w:lang w:val="en"/>
        </w:rPr>
        <w:t>Prudence is the watchword when it comes to the fruition of assets. Thus, investments in government securities represented 67%, shares 24.4%, and investments in corporate bonds were 3.9%.</w:t>
      </w:r>
    </w:p>
    <w:p w14:paraId="77F38A1E" w14:textId="77777777" w:rsidR="00FC02E9" w:rsidRPr="00FC02E9" w:rsidRDefault="00FC02E9" w:rsidP="00FC02E9">
      <w:pPr>
        <w:pStyle w:val="MainBody"/>
        <w:spacing w:after="120"/>
        <w:rPr>
          <w:sz w:val="22"/>
          <w:lang w:val="en"/>
        </w:rPr>
      </w:pPr>
      <w:r w:rsidRPr="00FC02E9">
        <w:rPr>
          <w:sz w:val="22"/>
          <w:lang w:val="en"/>
        </w:rPr>
        <w:t>89.2% of total assets were placed in the national currency, and 10.2% in euros.</w:t>
      </w:r>
    </w:p>
    <w:p w14:paraId="5506AA3E" w14:textId="77777777" w:rsidR="00FC02E9" w:rsidRPr="00FC02E9" w:rsidRDefault="00FC02E9" w:rsidP="00FC02E9">
      <w:pPr>
        <w:pStyle w:val="MainBody"/>
        <w:spacing w:after="120"/>
        <w:rPr>
          <w:b/>
          <w:bCs/>
          <w:i/>
          <w:iCs/>
          <w:sz w:val="22"/>
          <w:lang w:val="en"/>
        </w:rPr>
      </w:pPr>
      <w:r w:rsidRPr="00FC02E9">
        <w:rPr>
          <w:b/>
          <w:bCs/>
          <w:i/>
          <w:iCs/>
          <w:sz w:val="22"/>
          <w:lang w:val="en"/>
        </w:rPr>
        <w:t>f) Profitability</w:t>
      </w:r>
    </w:p>
    <w:p w14:paraId="7BBDE469" w14:textId="77777777" w:rsidR="00FC02E9" w:rsidRPr="00DA4D74" w:rsidRDefault="00FC02E9" w:rsidP="00FC02E9">
      <w:pPr>
        <w:pStyle w:val="MainBody"/>
        <w:spacing w:after="120"/>
        <w:rPr>
          <w:spacing w:val="2"/>
          <w:sz w:val="22"/>
          <w:lang w:val="en"/>
        </w:rPr>
      </w:pPr>
      <w:r w:rsidRPr="00DA4D74">
        <w:rPr>
          <w:spacing w:val="2"/>
          <w:sz w:val="22"/>
          <w:lang w:val="en"/>
        </w:rPr>
        <w:t xml:space="preserve">There was a decrease in the rates of return for all funds. For example, AZT Vivace decreased from 7.16% (Dec. 2023) to 5.59% (Dec. 2024). Similarly, NN </w:t>
      </w:r>
      <w:proofErr w:type="spellStart"/>
      <w:r w:rsidRPr="00DA4D74">
        <w:rPr>
          <w:spacing w:val="2"/>
          <w:sz w:val="22"/>
          <w:lang w:val="en"/>
        </w:rPr>
        <w:t>Activ</w:t>
      </w:r>
      <w:proofErr w:type="spellEnd"/>
      <w:r w:rsidRPr="00DA4D74">
        <w:rPr>
          <w:spacing w:val="2"/>
          <w:sz w:val="22"/>
          <w:lang w:val="en"/>
        </w:rPr>
        <w:t xml:space="preserve"> decreased from 7.27% to 5.84%.</w:t>
      </w:r>
    </w:p>
    <w:p w14:paraId="3EF092D2" w14:textId="77777777" w:rsidR="00FC02E9" w:rsidRPr="00FC02E9" w:rsidRDefault="00FC02E9" w:rsidP="00FC02E9">
      <w:pPr>
        <w:pStyle w:val="MainBody"/>
        <w:spacing w:after="120"/>
        <w:rPr>
          <w:b/>
          <w:bCs/>
          <w:i/>
          <w:iCs/>
          <w:sz w:val="22"/>
          <w:lang w:val="en"/>
        </w:rPr>
      </w:pPr>
      <w:r w:rsidRPr="00FC02E9">
        <w:rPr>
          <w:b/>
          <w:bCs/>
          <w:i/>
          <w:iCs/>
          <w:sz w:val="22"/>
          <w:lang w:val="en"/>
        </w:rPr>
        <w:t>g) Depositories</w:t>
      </w:r>
    </w:p>
    <w:p w14:paraId="2E3D53BD" w14:textId="77777777" w:rsidR="00FC02E9" w:rsidRPr="00FC02E9" w:rsidRDefault="00FC02E9" w:rsidP="00FC02E9">
      <w:pPr>
        <w:pStyle w:val="MainBody"/>
        <w:spacing w:after="120"/>
        <w:rPr>
          <w:sz w:val="22"/>
          <w:lang w:val="ro-RO"/>
        </w:rPr>
      </w:pPr>
      <w:r w:rsidRPr="00FC02E9">
        <w:rPr>
          <w:sz w:val="22"/>
          <w:lang w:val="en"/>
        </w:rPr>
        <w:t>BRD – GSG has 95.4% of assets in custody, and BCR - 4.6%.</w:t>
      </w:r>
    </w:p>
    <w:p w14:paraId="17D8A6D7" w14:textId="77777777" w:rsidR="004E0ED7" w:rsidRPr="004E0ED7" w:rsidRDefault="004E0ED7" w:rsidP="004E0ED7">
      <w:pPr>
        <w:pStyle w:val="MainBody"/>
        <w:spacing w:after="120"/>
        <w:rPr>
          <w:sz w:val="22"/>
          <w:lang w:val="ro-RO"/>
        </w:rPr>
      </w:pPr>
    </w:p>
    <w:p w14:paraId="612FB308" w14:textId="77777777" w:rsidR="00FC02E9" w:rsidRPr="00FC02E9" w:rsidRDefault="0044726B" w:rsidP="00FC02E9">
      <w:pPr>
        <w:pStyle w:val="MainBody"/>
        <w:spacing w:after="120"/>
        <w:rPr>
          <w:b/>
          <w:sz w:val="24"/>
          <w:lang w:val="ro-RO"/>
        </w:rPr>
      </w:pPr>
      <w:r w:rsidRPr="006F71A0">
        <w:rPr>
          <w:b/>
          <w:sz w:val="24"/>
          <w:lang w:val="en-GB"/>
        </w:rPr>
        <w:t>3</w:t>
      </w:r>
      <w:r w:rsidRPr="006F71A0">
        <w:rPr>
          <w:b/>
          <w:sz w:val="24"/>
          <w:lang w:val="en-GB"/>
        </w:rPr>
        <w:tab/>
      </w:r>
      <w:r w:rsidR="00FC02E9" w:rsidRPr="00FC02E9">
        <w:rPr>
          <w:b/>
          <w:sz w:val="24"/>
          <w:lang w:val="en"/>
        </w:rPr>
        <w:t>Pension system reform. Conclusions</w:t>
      </w:r>
    </w:p>
    <w:p w14:paraId="0AF3FEC2" w14:textId="77777777" w:rsidR="00FC02E9" w:rsidRPr="00FC02E9" w:rsidRDefault="00FC02E9" w:rsidP="00FC02E9">
      <w:pPr>
        <w:pStyle w:val="MainBody"/>
        <w:spacing w:after="120"/>
        <w:rPr>
          <w:sz w:val="22"/>
          <w:lang w:val="en"/>
        </w:rPr>
      </w:pPr>
      <w:r w:rsidRPr="00FC02E9">
        <w:rPr>
          <w:sz w:val="22"/>
          <w:lang w:val="en"/>
        </w:rPr>
        <w:t>In light of the above, several directions of action are required. These are:</w:t>
      </w:r>
    </w:p>
    <w:p w14:paraId="4D81134B" w14:textId="77777777" w:rsidR="00FC02E9" w:rsidRPr="00FC02E9" w:rsidRDefault="00FC02E9" w:rsidP="00FC02E9">
      <w:pPr>
        <w:pStyle w:val="MainBody"/>
        <w:spacing w:after="120"/>
        <w:rPr>
          <w:b/>
          <w:bCs/>
          <w:i/>
          <w:iCs/>
          <w:sz w:val="22"/>
          <w:lang w:val="en"/>
        </w:rPr>
      </w:pPr>
      <w:r w:rsidRPr="00FC02E9">
        <w:rPr>
          <w:b/>
          <w:bCs/>
          <w:i/>
          <w:iCs/>
          <w:sz w:val="22"/>
          <w:lang w:val="en"/>
        </w:rPr>
        <w:t>a) Increasing the birth rate</w:t>
      </w:r>
    </w:p>
    <w:p w14:paraId="6BCE14A3" w14:textId="77777777" w:rsidR="00FC02E9" w:rsidRPr="00FC02E9" w:rsidRDefault="00FC02E9" w:rsidP="00FC02E9">
      <w:pPr>
        <w:pStyle w:val="MainBody"/>
        <w:spacing w:after="120"/>
        <w:rPr>
          <w:sz w:val="22"/>
          <w:lang w:val="en"/>
        </w:rPr>
      </w:pPr>
      <w:r w:rsidRPr="00FC02E9">
        <w:rPr>
          <w:sz w:val="22"/>
          <w:lang w:val="en"/>
        </w:rPr>
        <w:t>Social policies in Romania must be found at the intersection of the following vectors:</w:t>
      </w:r>
    </w:p>
    <w:p w14:paraId="5BFA9CBC" w14:textId="77777777" w:rsidR="00FC02E9" w:rsidRPr="00FC02E9" w:rsidRDefault="00FC02E9" w:rsidP="00FC02E9">
      <w:pPr>
        <w:pStyle w:val="MainBody"/>
        <w:spacing w:after="120"/>
        <w:rPr>
          <w:sz w:val="22"/>
          <w:lang w:val="en"/>
        </w:rPr>
      </w:pPr>
      <w:r w:rsidRPr="00FC02E9">
        <w:rPr>
          <w:sz w:val="22"/>
          <w:lang w:val="en"/>
        </w:rPr>
        <w:lastRenderedPageBreak/>
        <w:t>- demographic growth;</w:t>
      </w:r>
    </w:p>
    <w:p w14:paraId="385BCB50" w14:textId="77777777" w:rsidR="00FC02E9" w:rsidRPr="00FC02E9" w:rsidRDefault="00FC02E9" w:rsidP="00FC02E9">
      <w:pPr>
        <w:pStyle w:val="MainBody"/>
        <w:spacing w:after="120"/>
        <w:rPr>
          <w:sz w:val="22"/>
          <w:lang w:val="en"/>
        </w:rPr>
      </w:pPr>
      <w:r w:rsidRPr="00FC02E9">
        <w:rPr>
          <w:sz w:val="22"/>
          <w:lang w:val="en"/>
        </w:rPr>
        <w:t>- tracking the real retirement age compared to the standard age;</w:t>
      </w:r>
    </w:p>
    <w:p w14:paraId="34938EEF" w14:textId="77777777" w:rsidR="00FC02E9" w:rsidRPr="00FC02E9" w:rsidRDefault="00FC02E9" w:rsidP="00FC02E9">
      <w:pPr>
        <w:pStyle w:val="MainBody"/>
        <w:spacing w:after="120"/>
        <w:rPr>
          <w:sz w:val="22"/>
          <w:lang w:val="en"/>
        </w:rPr>
      </w:pPr>
      <w:r w:rsidRPr="00FC02E9">
        <w:rPr>
          <w:sz w:val="22"/>
          <w:lang w:val="en"/>
        </w:rPr>
        <w:t>- life expectancy.</w:t>
      </w:r>
    </w:p>
    <w:p w14:paraId="1BDF3C9F" w14:textId="77777777" w:rsidR="00FC02E9" w:rsidRPr="00FC02E9" w:rsidRDefault="00FC02E9" w:rsidP="00FC02E9">
      <w:pPr>
        <w:pStyle w:val="MainBody"/>
        <w:spacing w:after="120"/>
        <w:rPr>
          <w:b/>
          <w:bCs/>
          <w:i/>
          <w:iCs/>
          <w:sz w:val="22"/>
          <w:lang w:val="en"/>
        </w:rPr>
      </w:pPr>
      <w:r w:rsidRPr="00FC02E9">
        <w:rPr>
          <w:b/>
          <w:bCs/>
          <w:i/>
          <w:iCs/>
          <w:sz w:val="22"/>
          <w:lang w:val="en"/>
        </w:rPr>
        <w:t>b) Savings</w:t>
      </w:r>
    </w:p>
    <w:p w14:paraId="5E255269" w14:textId="77777777" w:rsidR="00FC02E9" w:rsidRPr="00FC02E9" w:rsidRDefault="00FC02E9" w:rsidP="00FC02E9">
      <w:pPr>
        <w:pStyle w:val="MainBody"/>
        <w:spacing w:after="120"/>
        <w:rPr>
          <w:sz w:val="22"/>
          <w:lang w:val="en"/>
        </w:rPr>
      </w:pPr>
      <w:r w:rsidRPr="00FC02E9">
        <w:rPr>
          <w:sz w:val="22"/>
          <w:lang w:val="en"/>
        </w:rPr>
        <w:t>As the public pension becomes a social protection tax or a subsistence pension, saving is a necessary and useful method.</w:t>
      </w:r>
    </w:p>
    <w:p w14:paraId="58D77E41" w14:textId="77777777" w:rsidR="00FC02E9" w:rsidRPr="00FC02E9" w:rsidRDefault="00FC02E9" w:rsidP="00FC02E9">
      <w:pPr>
        <w:pStyle w:val="MainBody"/>
        <w:spacing w:after="120"/>
        <w:rPr>
          <w:sz w:val="22"/>
          <w:lang w:val="en"/>
        </w:rPr>
      </w:pPr>
      <w:r w:rsidRPr="00FC02E9">
        <w:rPr>
          <w:sz w:val="22"/>
          <w:lang w:val="en"/>
        </w:rPr>
        <w:t xml:space="preserve">Currently, in Romania, there is a mandatory savings method – Pillar II, which must increase in order for the contributor’s pension to be higher. </w:t>
      </w:r>
    </w:p>
    <w:p w14:paraId="5E1363F8" w14:textId="25CA53FE" w:rsidR="00FC02E9" w:rsidRPr="00FC02E9" w:rsidRDefault="00FC02E9" w:rsidP="00FC02E9">
      <w:pPr>
        <w:pStyle w:val="MainBody"/>
        <w:spacing w:after="120"/>
        <w:rPr>
          <w:sz w:val="22"/>
          <w:lang w:val="en"/>
        </w:rPr>
      </w:pPr>
      <w:r w:rsidRPr="00FC02E9">
        <w:rPr>
          <w:sz w:val="22"/>
          <w:lang w:val="en"/>
        </w:rPr>
        <w:t xml:space="preserve">In addition, Pillar III must be further developed, by increasing the </w:t>
      </w:r>
      <w:r w:rsidR="00146589" w:rsidRPr="00FC02E9">
        <w:rPr>
          <w:sz w:val="22"/>
          <w:lang w:val="en"/>
        </w:rPr>
        <w:t>tax-deductible</w:t>
      </w:r>
      <w:r w:rsidRPr="00FC02E9">
        <w:rPr>
          <w:sz w:val="22"/>
          <w:lang w:val="en"/>
        </w:rPr>
        <w:t xml:space="preserve"> amount.</w:t>
      </w:r>
    </w:p>
    <w:p w14:paraId="28EF1190" w14:textId="77777777" w:rsidR="00FC02E9" w:rsidRPr="00FC02E9" w:rsidRDefault="00FC02E9" w:rsidP="00FC02E9">
      <w:pPr>
        <w:pStyle w:val="MainBody"/>
        <w:spacing w:after="120"/>
        <w:rPr>
          <w:sz w:val="22"/>
          <w:lang w:val="en"/>
        </w:rPr>
      </w:pPr>
      <w:r w:rsidRPr="00FC02E9">
        <w:rPr>
          <w:sz w:val="22"/>
          <w:lang w:val="en"/>
        </w:rPr>
        <w:t>The functionality of the occupational pension must become a serious concern.</w:t>
      </w:r>
    </w:p>
    <w:p w14:paraId="76818D70" w14:textId="77777777" w:rsidR="00FC02E9" w:rsidRPr="00FC02E9" w:rsidRDefault="00FC02E9" w:rsidP="00FC02E9">
      <w:pPr>
        <w:pStyle w:val="MainBody"/>
        <w:spacing w:after="120"/>
        <w:rPr>
          <w:sz w:val="22"/>
          <w:lang w:val="en"/>
        </w:rPr>
      </w:pPr>
      <w:r w:rsidRPr="00FC02E9">
        <w:rPr>
          <w:sz w:val="22"/>
          <w:lang w:val="en"/>
        </w:rPr>
        <w:t xml:space="preserve">Investments must be made in investment funds, stocks, bonds and rigorous control must be exercised over them. </w:t>
      </w:r>
    </w:p>
    <w:p w14:paraId="631BF081" w14:textId="77777777" w:rsidR="00FC02E9" w:rsidRPr="00FC02E9" w:rsidRDefault="00FC02E9" w:rsidP="00FC02E9">
      <w:pPr>
        <w:pStyle w:val="MainBody"/>
        <w:spacing w:after="120"/>
        <w:rPr>
          <w:sz w:val="22"/>
          <w:lang w:val="en"/>
        </w:rPr>
      </w:pPr>
      <w:r w:rsidRPr="00FC02E9">
        <w:rPr>
          <w:sz w:val="22"/>
          <w:lang w:val="en"/>
        </w:rPr>
        <w:t>As an example, private pensions are developed in the Netherlands, Sweden and Denmark.</w:t>
      </w:r>
    </w:p>
    <w:p w14:paraId="41E67794" w14:textId="77777777" w:rsidR="00FC02E9" w:rsidRPr="00FC02E9" w:rsidRDefault="00FC02E9" w:rsidP="00FC02E9">
      <w:pPr>
        <w:pStyle w:val="MainBody"/>
        <w:spacing w:after="120"/>
        <w:rPr>
          <w:b/>
          <w:bCs/>
          <w:i/>
          <w:iCs/>
          <w:sz w:val="22"/>
          <w:lang w:val="en"/>
        </w:rPr>
      </w:pPr>
      <w:r w:rsidRPr="00FC02E9">
        <w:rPr>
          <w:b/>
          <w:bCs/>
          <w:i/>
          <w:iCs/>
          <w:sz w:val="22"/>
          <w:lang w:val="en"/>
        </w:rPr>
        <w:t>c) Granting some facilities to contributors</w:t>
      </w:r>
    </w:p>
    <w:p w14:paraId="41864620" w14:textId="15E1A881" w:rsidR="00FC02E9" w:rsidRPr="00FC02E9" w:rsidRDefault="00FC02E9" w:rsidP="00FC02E9">
      <w:pPr>
        <w:pStyle w:val="MainBody"/>
        <w:spacing w:after="120"/>
        <w:rPr>
          <w:sz w:val="22"/>
          <w:lang w:val="en"/>
        </w:rPr>
      </w:pPr>
      <w:r w:rsidRPr="00FC02E9">
        <w:rPr>
          <w:sz w:val="22"/>
          <w:lang w:val="en"/>
        </w:rPr>
        <w:t>- income obtained by those who continue their activity beyond the standard retirement age should no longer be taxed</w:t>
      </w:r>
      <w:r w:rsidR="00146589">
        <w:rPr>
          <w:sz w:val="22"/>
          <w:lang w:val="en"/>
        </w:rPr>
        <w:t xml:space="preserve"> </w:t>
      </w:r>
      <w:r w:rsidR="00146589">
        <w:rPr>
          <w:sz w:val="22"/>
          <w:szCs w:val="22"/>
          <w:lang w:val="en"/>
        </w:rPr>
        <w:t>(CFA Society, Romania, 2025)</w:t>
      </w:r>
      <w:r>
        <w:rPr>
          <w:sz w:val="22"/>
          <w:lang w:val="en"/>
        </w:rPr>
        <w:t>;</w:t>
      </w:r>
    </w:p>
    <w:p w14:paraId="573D1FE7" w14:textId="77777777" w:rsidR="00FC02E9" w:rsidRPr="00FC02E9" w:rsidRDefault="00FC02E9" w:rsidP="00FC02E9">
      <w:pPr>
        <w:pStyle w:val="MainBody"/>
        <w:spacing w:after="120"/>
        <w:rPr>
          <w:sz w:val="22"/>
          <w:lang w:val="en"/>
        </w:rPr>
      </w:pPr>
      <w:r w:rsidRPr="00FC02E9">
        <w:rPr>
          <w:sz w:val="22"/>
          <w:lang w:val="en"/>
        </w:rPr>
        <w:t>- establishment of a Pillar I based on individual accounts;</w:t>
      </w:r>
    </w:p>
    <w:p w14:paraId="5EFDB86F" w14:textId="77777777" w:rsidR="00FC02E9" w:rsidRPr="00FC02E9" w:rsidRDefault="00FC02E9" w:rsidP="00FC02E9">
      <w:pPr>
        <w:pStyle w:val="MainBody"/>
        <w:spacing w:after="120"/>
        <w:rPr>
          <w:sz w:val="22"/>
          <w:lang w:val="ro-RO"/>
        </w:rPr>
      </w:pPr>
      <w:r w:rsidRPr="00FC02E9">
        <w:rPr>
          <w:sz w:val="22"/>
          <w:lang w:val="en"/>
        </w:rPr>
        <w:t>- withdrawal from Pillar II before retirement may be a solution, but there are fears that there could be massive withdrawals, as Romanians do not have a high financial culture.</w:t>
      </w:r>
    </w:p>
    <w:p w14:paraId="2FE819D9" w14:textId="77777777" w:rsidR="0072535B" w:rsidRPr="0072535B" w:rsidRDefault="0072535B" w:rsidP="0072535B">
      <w:pPr>
        <w:pStyle w:val="MainBody"/>
        <w:spacing w:after="120"/>
        <w:rPr>
          <w:b/>
          <w:bCs/>
          <w:i/>
          <w:iCs/>
          <w:sz w:val="22"/>
          <w:lang w:val="en"/>
        </w:rPr>
      </w:pPr>
      <w:r w:rsidRPr="0072535B">
        <w:rPr>
          <w:b/>
          <w:bCs/>
          <w:i/>
          <w:iCs/>
          <w:sz w:val="22"/>
          <w:lang w:val="en"/>
        </w:rPr>
        <w:t>d) A healthy elderly population</w:t>
      </w:r>
    </w:p>
    <w:p w14:paraId="76346009" w14:textId="77777777" w:rsidR="0072535B" w:rsidRPr="0072535B" w:rsidRDefault="0072535B" w:rsidP="0072535B">
      <w:pPr>
        <w:pStyle w:val="MainBody"/>
        <w:spacing w:after="120"/>
        <w:rPr>
          <w:sz w:val="22"/>
          <w:lang w:val="en"/>
        </w:rPr>
      </w:pPr>
      <w:r w:rsidRPr="0072535B">
        <w:rPr>
          <w:sz w:val="22"/>
          <w:lang w:val="en"/>
        </w:rPr>
        <w:t>- allocating as much of the GDP as possible to the health system;</w:t>
      </w:r>
    </w:p>
    <w:p w14:paraId="5255410A" w14:textId="21BB47A1" w:rsidR="0072535B" w:rsidRPr="0072535B" w:rsidRDefault="0072535B" w:rsidP="0072535B">
      <w:pPr>
        <w:pStyle w:val="MainBody"/>
        <w:spacing w:after="120"/>
        <w:rPr>
          <w:sz w:val="22"/>
          <w:lang w:val="en"/>
        </w:rPr>
      </w:pPr>
      <w:r w:rsidRPr="0072535B">
        <w:rPr>
          <w:sz w:val="22"/>
          <w:lang w:val="en"/>
        </w:rPr>
        <w:t>- healthier people mean less money spent on medicines</w:t>
      </w:r>
      <w:r w:rsidR="00513956">
        <w:rPr>
          <w:sz w:val="22"/>
          <w:lang w:val="en"/>
        </w:rPr>
        <w:t>.</w:t>
      </w:r>
    </w:p>
    <w:p w14:paraId="2BACFB92" w14:textId="77777777" w:rsidR="0072535B" w:rsidRPr="0072535B" w:rsidRDefault="0072535B" w:rsidP="0072535B">
      <w:pPr>
        <w:pStyle w:val="MainBody"/>
        <w:spacing w:after="120"/>
        <w:rPr>
          <w:b/>
          <w:bCs/>
          <w:i/>
          <w:iCs/>
          <w:sz w:val="22"/>
          <w:lang w:val="en"/>
        </w:rPr>
      </w:pPr>
      <w:r w:rsidRPr="0072535B">
        <w:rPr>
          <w:b/>
          <w:bCs/>
          <w:i/>
          <w:iCs/>
          <w:sz w:val="22"/>
          <w:lang w:val="en"/>
        </w:rPr>
        <w:t>e) Integration of women and young people (15-34 years old) into the labor market</w:t>
      </w:r>
    </w:p>
    <w:p w14:paraId="263BC8D6" w14:textId="4973A193" w:rsidR="0072535B" w:rsidRPr="0072535B" w:rsidRDefault="0072535B" w:rsidP="0072535B">
      <w:pPr>
        <w:pStyle w:val="MainBody"/>
        <w:spacing w:after="120"/>
        <w:rPr>
          <w:sz w:val="22"/>
          <w:lang w:val="en"/>
        </w:rPr>
      </w:pPr>
      <w:r w:rsidRPr="0072535B">
        <w:rPr>
          <w:sz w:val="22"/>
          <w:lang w:val="en"/>
        </w:rPr>
        <w:t>Romania has the lowest rate of integration of young people and women into the labor market in Europe, respectively 21% - young people and 60% - women</w:t>
      </w:r>
      <w:r w:rsidR="00C86859">
        <w:rPr>
          <w:sz w:val="22"/>
          <w:lang w:val="en"/>
        </w:rPr>
        <w:t xml:space="preserve"> </w:t>
      </w:r>
      <w:r w:rsidR="00C86859">
        <w:rPr>
          <w:sz w:val="22"/>
          <w:szCs w:val="22"/>
          <w:lang w:val="en"/>
        </w:rPr>
        <w:t>(CFA Society, Romania, 2025)</w:t>
      </w:r>
      <w:r w:rsidRPr="0072535B">
        <w:rPr>
          <w:sz w:val="22"/>
          <w:lang w:val="en"/>
        </w:rPr>
        <w:t xml:space="preserve">. </w:t>
      </w:r>
    </w:p>
    <w:p w14:paraId="5E948771" w14:textId="77777777" w:rsidR="0072535B" w:rsidRPr="0072535B" w:rsidRDefault="0072535B" w:rsidP="0072535B">
      <w:pPr>
        <w:pStyle w:val="MainBody"/>
        <w:spacing w:after="120"/>
        <w:rPr>
          <w:b/>
          <w:bCs/>
          <w:i/>
          <w:iCs/>
          <w:sz w:val="22"/>
          <w:lang w:val="en"/>
        </w:rPr>
      </w:pPr>
      <w:r w:rsidRPr="0072535B">
        <w:rPr>
          <w:b/>
          <w:bCs/>
          <w:i/>
          <w:iCs/>
          <w:sz w:val="22"/>
          <w:lang w:val="en"/>
        </w:rPr>
        <w:t>f) A gradual increase in the contribution on Pillar II</w:t>
      </w:r>
    </w:p>
    <w:p w14:paraId="031CE1C1" w14:textId="77777777" w:rsidR="0072535B" w:rsidRPr="0072535B" w:rsidRDefault="0072535B" w:rsidP="0072535B">
      <w:pPr>
        <w:pStyle w:val="MainBody"/>
        <w:spacing w:after="120"/>
        <w:rPr>
          <w:sz w:val="22"/>
          <w:lang w:val="en"/>
        </w:rPr>
      </w:pPr>
      <w:r w:rsidRPr="0072535B">
        <w:rPr>
          <w:sz w:val="22"/>
          <w:lang w:val="en"/>
        </w:rPr>
        <w:t>This increase should be made simultaneously with the decrease in the contribution on Pillar I, so as to create a higher yield for retirement income. In this way, the debt that will be left on the shoulders of future generations will be smaller and smaller, i.e. the implicit public debt will decrease.</w:t>
      </w:r>
    </w:p>
    <w:p w14:paraId="060D6B94" w14:textId="77777777" w:rsidR="0072535B" w:rsidRPr="0072535B" w:rsidRDefault="0072535B" w:rsidP="0072535B">
      <w:pPr>
        <w:pStyle w:val="MainBody"/>
        <w:spacing w:after="120"/>
        <w:rPr>
          <w:b/>
          <w:bCs/>
          <w:i/>
          <w:iCs/>
          <w:sz w:val="22"/>
          <w:lang w:val="en"/>
        </w:rPr>
      </w:pPr>
      <w:r w:rsidRPr="0072535B">
        <w:rPr>
          <w:b/>
          <w:bCs/>
          <w:i/>
          <w:iCs/>
          <w:sz w:val="22"/>
          <w:lang w:val="en"/>
        </w:rPr>
        <w:t>g) Ways to save/invest the amounts accumulated in Pillar II</w:t>
      </w:r>
    </w:p>
    <w:p w14:paraId="4BE4C4AA" w14:textId="77777777" w:rsidR="0072535B" w:rsidRDefault="0072535B" w:rsidP="0072535B">
      <w:pPr>
        <w:pStyle w:val="MainBody"/>
        <w:spacing w:after="120"/>
        <w:rPr>
          <w:sz w:val="22"/>
          <w:lang w:val="en"/>
        </w:rPr>
      </w:pPr>
      <w:r w:rsidRPr="0072535B">
        <w:rPr>
          <w:sz w:val="22"/>
          <w:lang w:val="en"/>
        </w:rPr>
        <w:t>Looked at in dynamics, the most efficient investments are those made in shares because they are the only ones with positive returns in the long term (20-30 years). From this perspective, Romanian legislation must be modified according to that of the OECD, in which investments in shares and alternative investments can reach up to 50%.</w:t>
      </w:r>
    </w:p>
    <w:p w14:paraId="3DE62AC9" w14:textId="7867BF6F" w:rsidR="009F431A" w:rsidRPr="009F431A" w:rsidRDefault="009F431A" w:rsidP="009F431A">
      <w:pPr>
        <w:pStyle w:val="MainBody"/>
        <w:spacing w:after="120"/>
        <w:rPr>
          <w:sz w:val="22"/>
          <w:lang w:val="en"/>
        </w:rPr>
      </w:pPr>
      <w:r w:rsidRPr="009F431A">
        <w:rPr>
          <w:sz w:val="22"/>
          <w:lang w:val="en"/>
        </w:rPr>
        <w:t>Also</w:t>
      </w:r>
      <w:r>
        <w:rPr>
          <w:sz w:val="22"/>
          <w:lang w:val="en"/>
        </w:rPr>
        <w:t>,</w:t>
      </w:r>
      <w:r w:rsidRPr="009F431A">
        <w:rPr>
          <w:sz w:val="22"/>
          <w:lang w:val="en"/>
        </w:rPr>
        <w:t xml:space="preserve"> an important element is the age of the participant:</w:t>
      </w:r>
    </w:p>
    <w:p w14:paraId="42043B88" w14:textId="77777777" w:rsidR="009F431A" w:rsidRPr="009F431A" w:rsidRDefault="009F431A" w:rsidP="009F431A">
      <w:pPr>
        <w:pStyle w:val="MainBody"/>
        <w:spacing w:after="120"/>
        <w:rPr>
          <w:sz w:val="22"/>
          <w:lang w:val="en"/>
        </w:rPr>
      </w:pPr>
      <w:r w:rsidRPr="009F431A">
        <w:rPr>
          <w:sz w:val="22"/>
          <w:lang w:val="en"/>
        </w:rPr>
        <w:t>- when young, it is preferable to invest mostly in shares and alternative investments;</w:t>
      </w:r>
    </w:p>
    <w:p w14:paraId="376CBA6E" w14:textId="77777777" w:rsidR="009F431A" w:rsidRPr="009F431A" w:rsidRDefault="009F431A" w:rsidP="009F431A">
      <w:pPr>
        <w:pStyle w:val="MainBody"/>
        <w:spacing w:after="120"/>
        <w:rPr>
          <w:sz w:val="22"/>
          <w:lang w:val="en"/>
        </w:rPr>
      </w:pPr>
      <w:r w:rsidRPr="009F431A">
        <w:rPr>
          <w:sz w:val="22"/>
          <w:lang w:val="en"/>
        </w:rPr>
        <w:t>- when mature, in a balanced ratio between shares and fixed-income instruments;</w:t>
      </w:r>
    </w:p>
    <w:p w14:paraId="6138E89F" w14:textId="77777777" w:rsidR="009F431A" w:rsidRPr="009F431A" w:rsidRDefault="009F431A" w:rsidP="009F431A">
      <w:pPr>
        <w:pStyle w:val="MainBody"/>
        <w:spacing w:after="120"/>
        <w:rPr>
          <w:sz w:val="22"/>
          <w:lang w:val="en"/>
        </w:rPr>
      </w:pPr>
      <w:r w:rsidRPr="009F431A">
        <w:rPr>
          <w:sz w:val="22"/>
          <w:lang w:val="en"/>
        </w:rPr>
        <w:t>- close to retirement, the investment should be made mainly in fixed-income instruments,</w:t>
      </w:r>
    </w:p>
    <w:p w14:paraId="5F4113B8" w14:textId="77777777" w:rsidR="009F431A" w:rsidRPr="009F431A" w:rsidRDefault="009F431A" w:rsidP="009F431A">
      <w:pPr>
        <w:pStyle w:val="MainBody"/>
        <w:spacing w:after="120"/>
        <w:rPr>
          <w:sz w:val="22"/>
          <w:lang w:val="en"/>
        </w:rPr>
      </w:pPr>
      <w:r w:rsidRPr="009F431A">
        <w:rPr>
          <w:sz w:val="22"/>
          <w:lang w:val="en"/>
        </w:rPr>
        <w:t xml:space="preserve">Pension funds are the largest institutional investors, managing assets of over 150 billion lei (October 2024). They are the second most important asset after bank deposits. </w:t>
      </w:r>
    </w:p>
    <w:p w14:paraId="5E9E72A0" w14:textId="77777777" w:rsidR="009F431A" w:rsidRPr="009F431A" w:rsidRDefault="009F431A" w:rsidP="00513956">
      <w:pPr>
        <w:pStyle w:val="MainBody"/>
        <w:keepNext/>
        <w:spacing w:after="120"/>
        <w:rPr>
          <w:sz w:val="22"/>
          <w:lang w:val="en"/>
        </w:rPr>
      </w:pPr>
      <w:r w:rsidRPr="009F431A">
        <w:rPr>
          <w:sz w:val="22"/>
          <w:lang w:val="en"/>
        </w:rPr>
        <w:lastRenderedPageBreak/>
        <w:t>Advantages of private pension funds:</w:t>
      </w:r>
    </w:p>
    <w:p w14:paraId="7FA05CD5" w14:textId="77777777" w:rsidR="009F431A" w:rsidRPr="009F431A" w:rsidRDefault="009F431A" w:rsidP="009F431A">
      <w:pPr>
        <w:pStyle w:val="MainBody"/>
        <w:spacing w:after="120"/>
        <w:rPr>
          <w:sz w:val="22"/>
          <w:lang w:val="en"/>
        </w:rPr>
      </w:pPr>
      <w:r w:rsidRPr="009F431A">
        <w:rPr>
          <w:sz w:val="22"/>
          <w:lang w:val="en"/>
        </w:rPr>
        <w:t>- allow participants to have a decent living in retirement;</w:t>
      </w:r>
    </w:p>
    <w:p w14:paraId="4616491F" w14:textId="77777777" w:rsidR="009F431A" w:rsidRPr="009F431A" w:rsidRDefault="009F431A" w:rsidP="009F431A">
      <w:pPr>
        <w:pStyle w:val="MainBody"/>
        <w:spacing w:after="120"/>
        <w:rPr>
          <w:sz w:val="22"/>
          <w:lang w:val="en"/>
        </w:rPr>
      </w:pPr>
      <w:r w:rsidRPr="009F431A">
        <w:rPr>
          <w:sz w:val="22"/>
          <w:lang w:val="en"/>
        </w:rPr>
        <w:t>- investments made from private funds contribute to the development of the capital market, stimulate the economy, infrastructure;</w:t>
      </w:r>
    </w:p>
    <w:p w14:paraId="5FFFF9E9" w14:textId="77777777" w:rsidR="009F431A" w:rsidRPr="009F431A" w:rsidRDefault="009F431A" w:rsidP="009F431A">
      <w:pPr>
        <w:pStyle w:val="MainBody"/>
        <w:spacing w:after="120"/>
        <w:rPr>
          <w:sz w:val="22"/>
          <w:lang w:val="ro-RO"/>
        </w:rPr>
      </w:pPr>
      <w:r w:rsidRPr="009F431A">
        <w:rPr>
          <w:sz w:val="22"/>
          <w:lang w:val="en"/>
        </w:rPr>
        <w:t>- private funds are an effective tool for financial education.</w:t>
      </w:r>
    </w:p>
    <w:p w14:paraId="6D7EDEF6" w14:textId="77777777" w:rsidR="0044726B" w:rsidRPr="00BA3371" w:rsidRDefault="0044726B" w:rsidP="0044726B">
      <w:pPr>
        <w:spacing w:after="120"/>
        <w:jc w:val="both"/>
        <w:rPr>
          <w:sz w:val="22"/>
          <w:lang w:val="en-GB"/>
        </w:rPr>
      </w:pPr>
    </w:p>
    <w:p w14:paraId="373C73D6" w14:textId="4A1763C2" w:rsidR="0044726B" w:rsidRPr="00F85109" w:rsidRDefault="009F431A" w:rsidP="0044726B">
      <w:pPr>
        <w:spacing w:after="120"/>
        <w:jc w:val="both"/>
        <w:rPr>
          <w:b/>
          <w:sz w:val="24"/>
        </w:rPr>
      </w:pPr>
      <w:r>
        <w:rPr>
          <w:b/>
          <w:sz w:val="24"/>
          <w:lang w:val="ro-RO"/>
        </w:rPr>
        <w:t>4</w:t>
      </w:r>
      <w:r w:rsidR="0044726B" w:rsidRPr="00F85109">
        <w:rPr>
          <w:b/>
          <w:sz w:val="24"/>
        </w:rPr>
        <w:tab/>
        <w:t>References</w:t>
      </w:r>
    </w:p>
    <w:p w14:paraId="35D9485A" w14:textId="0B70A36D" w:rsidR="005B2870" w:rsidRPr="00C025D7" w:rsidRDefault="005B2870" w:rsidP="005B2870">
      <w:pPr>
        <w:pStyle w:val="FootnoteText"/>
        <w:spacing w:after="120"/>
        <w:jc w:val="both"/>
        <w:rPr>
          <w:sz w:val="18"/>
          <w:szCs w:val="18"/>
        </w:rPr>
      </w:pPr>
      <w:r w:rsidRPr="00C025D7">
        <w:rPr>
          <w:sz w:val="18"/>
          <w:szCs w:val="18"/>
        </w:rPr>
        <w:t xml:space="preserve">Ban, I. (2007). </w:t>
      </w:r>
      <w:proofErr w:type="spellStart"/>
      <w:r w:rsidRPr="00C025D7">
        <w:rPr>
          <w:sz w:val="18"/>
          <w:szCs w:val="18"/>
        </w:rPr>
        <w:t>Efectele</w:t>
      </w:r>
      <w:proofErr w:type="spellEnd"/>
      <w:r w:rsidRPr="00C025D7">
        <w:rPr>
          <w:sz w:val="18"/>
          <w:szCs w:val="18"/>
        </w:rPr>
        <w:t xml:space="preserve"> </w:t>
      </w:r>
      <w:proofErr w:type="spellStart"/>
      <w:r w:rsidRPr="00C025D7">
        <w:rPr>
          <w:sz w:val="18"/>
          <w:szCs w:val="18"/>
        </w:rPr>
        <w:t>industriei</w:t>
      </w:r>
      <w:proofErr w:type="spellEnd"/>
      <w:r w:rsidRPr="00C025D7">
        <w:rPr>
          <w:sz w:val="18"/>
          <w:szCs w:val="18"/>
        </w:rPr>
        <w:t xml:space="preserve"> </w:t>
      </w:r>
      <w:proofErr w:type="spellStart"/>
      <w:r w:rsidRPr="00C025D7">
        <w:rPr>
          <w:sz w:val="18"/>
          <w:szCs w:val="18"/>
        </w:rPr>
        <w:t>fondurilor</w:t>
      </w:r>
      <w:proofErr w:type="spellEnd"/>
      <w:r w:rsidRPr="00C025D7">
        <w:rPr>
          <w:sz w:val="18"/>
          <w:szCs w:val="18"/>
        </w:rPr>
        <w:t xml:space="preserve"> private de </w:t>
      </w:r>
      <w:proofErr w:type="spellStart"/>
      <w:r w:rsidRPr="00C025D7">
        <w:rPr>
          <w:sz w:val="18"/>
          <w:szCs w:val="18"/>
        </w:rPr>
        <w:t>pensii</w:t>
      </w:r>
      <w:proofErr w:type="spellEnd"/>
      <w:r w:rsidRPr="00C025D7">
        <w:rPr>
          <w:sz w:val="18"/>
          <w:szCs w:val="18"/>
        </w:rPr>
        <w:t xml:space="preserve"> </w:t>
      </w:r>
      <w:proofErr w:type="spellStart"/>
      <w:r w:rsidRPr="00C025D7">
        <w:rPr>
          <w:sz w:val="18"/>
          <w:szCs w:val="18"/>
        </w:rPr>
        <w:t>asupra</w:t>
      </w:r>
      <w:proofErr w:type="spellEnd"/>
      <w:r w:rsidRPr="00C025D7">
        <w:rPr>
          <w:sz w:val="18"/>
          <w:szCs w:val="18"/>
        </w:rPr>
        <w:t xml:space="preserve"> </w:t>
      </w:r>
      <w:proofErr w:type="spellStart"/>
      <w:r w:rsidRPr="00C025D7">
        <w:rPr>
          <w:sz w:val="18"/>
          <w:szCs w:val="18"/>
        </w:rPr>
        <w:t>piețelor</w:t>
      </w:r>
      <w:proofErr w:type="spellEnd"/>
      <w:r w:rsidRPr="00C025D7">
        <w:rPr>
          <w:sz w:val="18"/>
          <w:szCs w:val="18"/>
        </w:rPr>
        <w:t xml:space="preserve"> </w:t>
      </w:r>
      <w:proofErr w:type="spellStart"/>
      <w:r w:rsidRPr="00C025D7">
        <w:rPr>
          <w:sz w:val="18"/>
          <w:szCs w:val="18"/>
        </w:rPr>
        <w:t>emergente</w:t>
      </w:r>
      <w:proofErr w:type="spellEnd"/>
      <w:r w:rsidR="003F098D">
        <w:rPr>
          <w:sz w:val="18"/>
          <w:szCs w:val="18"/>
        </w:rPr>
        <w:t>.</w:t>
      </w:r>
      <w:r w:rsidRPr="003F098D">
        <w:rPr>
          <w:i/>
          <w:iCs/>
          <w:sz w:val="18"/>
          <w:szCs w:val="18"/>
        </w:rPr>
        <w:t xml:space="preserve"> </w:t>
      </w:r>
      <w:r w:rsidR="003F098D" w:rsidRPr="003F098D">
        <w:rPr>
          <w:i/>
          <w:iCs/>
          <w:sz w:val="18"/>
          <w:szCs w:val="18"/>
        </w:rPr>
        <w:t>Theoretical and Applied Economics</w:t>
      </w:r>
      <w:r w:rsidRPr="00C025D7">
        <w:rPr>
          <w:sz w:val="18"/>
          <w:szCs w:val="18"/>
        </w:rPr>
        <w:t>.</w:t>
      </w:r>
    </w:p>
    <w:p w14:paraId="6CBED0B1" w14:textId="4FBAAAAA" w:rsidR="005B2870" w:rsidRPr="00C025D7" w:rsidRDefault="005B2870" w:rsidP="005B2870">
      <w:pPr>
        <w:pStyle w:val="FootnoteText"/>
        <w:spacing w:after="120"/>
        <w:jc w:val="both"/>
        <w:rPr>
          <w:sz w:val="18"/>
          <w:szCs w:val="18"/>
        </w:rPr>
      </w:pPr>
      <w:proofErr w:type="spellStart"/>
      <w:r w:rsidRPr="00C025D7">
        <w:rPr>
          <w:sz w:val="18"/>
          <w:szCs w:val="18"/>
        </w:rPr>
        <w:t>Bonizzi</w:t>
      </w:r>
      <w:proofErr w:type="spellEnd"/>
      <w:r w:rsidRPr="00C025D7">
        <w:rPr>
          <w:sz w:val="18"/>
          <w:szCs w:val="18"/>
        </w:rPr>
        <w:t xml:space="preserve">, B. &amp; Guevara, D. </w:t>
      </w:r>
      <w:r w:rsidR="001557B8">
        <w:rPr>
          <w:sz w:val="18"/>
          <w:szCs w:val="18"/>
        </w:rPr>
        <w:t xml:space="preserve">(2019). </w:t>
      </w:r>
      <w:r w:rsidRPr="00C025D7">
        <w:rPr>
          <w:sz w:val="18"/>
          <w:szCs w:val="18"/>
        </w:rPr>
        <w:t xml:space="preserve">Private pension funds in emerging economies: from broken promises to </w:t>
      </w:r>
      <w:proofErr w:type="spellStart"/>
      <w:r w:rsidRPr="00C025D7">
        <w:rPr>
          <w:sz w:val="18"/>
          <w:szCs w:val="18"/>
        </w:rPr>
        <w:t>financialisation</w:t>
      </w:r>
      <w:proofErr w:type="spellEnd"/>
      <w:r w:rsidRPr="00C025D7">
        <w:rPr>
          <w:sz w:val="18"/>
          <w:szCs w:val="18"/>
        </w:rPr>
        <w:t xml:space="preserve">, </w:t>
      </w:r>
      <w:r w:rsidRPr="00C025D7">
        <w:rPr>
          <w:i/>
          <w:iCs/>
          <w:sz w:val="18"/>
          <w:szCs w:val="18"/>
        </w:rPr>
        <w:t>Finance, Growth and Inequality Post-Keynesian Perspectives</w:t>
      </w:r>
      <w:r w:rsidRPr="00C025D7">
        <w:rPr>
          <w:sz w:val="18"/>
          <w:szCs w:val="18"/>
        </w:rPr>
        <w:t>. Cheltenham: Edward Elgar Publishing.</w:t>
      </w:r>
    </w:p>
    <w:p w14:paraId="596332DC" w14:textId="77777777" w:rsidR="005B2870" w:rsidRPr="00C025D7" w:rsidRDefault="005B2870" w:rsidP="005B2870">
      <w:pPr>
        <w:pStyle w:val="FootnoteText"/>
        <w:spacing w:after="120"/>
        <w:jc w:val="both"/>
        <w:rPr>
          <w:sz w:val="18"/>
          <w:szCs w:val="18"/>
        </w:rPr>
      </w:pPr>
      <w:proofErr w:type="spellStart"/>
      <w:r w:rsidRPr="00C025D7">
        <w:rPr>
          <w:sz w:val="18"/>
          <w:szCs w:val="18"/>
        </w:rPr>
        <w:t>Bonoli</w:t>
      </w:r>
      <w:proofErr w:type="spellEnd"/>
      <w:r w:rsidRPr="00C025D7">
        <w:rPr>
          <w:sz w:val="18"/>
          <w:szCs w:val="18"/>
        </w:rPr>
        <w:t xml:space="preserve">, G. &amp; Shinkawa, T. (2005). Population ageing and the logics of pension reform in Western Europe, East Asia and North America, </w:t>
      </w:r>
      <w:r w:rsidRPr="00C025D7">
        <w:rPr>
          <w:i/>
          <w:iCs/>
          <w:sz w:val="18"/>
          <w:szCs w:val="18"/>
        </w:rPr>
        <w:t>Ageing and Pension Reform Around the World. Evidence from Eleven Countries</w:t>
      </w:r>
      <w:r w:rsidRPr="00C025D7">
        <w:rPr>
          <w:sz w:val="18"/>
          <w:szCs w:val="18"/>
        </w:rPr>
        <w:t>. Cheltenham: Edward Elgar Publishing.</w:t>
      </w:r>
    </w:p>
    <w:p w14:paraId="4FEB5926" w14:textId="41222FCA" w:rsidR="005B2870" w:rsidRPr="00C025D7" w:rsidRDefault="005B2870" w:rsidP="005B2870">
      <w:pPr>
        <w:pStyle w:val="FootnoteText"/>
        <w:spacing w:after="120"/>
        <w:jc w:val="both"/>
        <w:rPr>
          <w:sz w:val="18"/>
          <w:szCs w:val="18"/>
        </w:rPr>
      </w:pPr>
      <w:r w:rsidRPr="00C025D7">
        <w:rPr>
          <w:sz w:val="18"/>
          <w:szCs w:val="18"/>
        </w:rPr>
        <w:t xml:space="preserve">CFA Society Romania (2025). </w:t>
      </w:r>
      <w:proofErr w:type="spellStart"/>
      <w:r w:rsidRPr="00C025D7">
        <w:rPr>
          <w:i/>
          <w:iCs/>
          <w:sz w:val="18"/>
          <w:szCs w:val="18"/>
        </w:rPr>
        <w:t>Sistemul</w:t>
      </w:r>
      <w:proofErr w:type="spellEnd"/>
      <w:r w:rsidRPr="00C025D7">
        <w:rPr>
          <w:i/>
          <w:iCs/>
          <w:sz w:val="18"/>
          <w:szCs w:val="18"/>
        </w:rPr>
        <w:t xml:space="preserve"> de </w:t>
      </w:r>
      <w:proofErr w:type="spellStart"/>
      <w:r w:rsidRPr="00C025D7">
        <w:rPr>
          <w:i/>
          <w:iCs/>
          <w:sz w:val="18"/>
          <w:szCs w:val="18"/>
        </w:rPr>
        <w:t>pensii</w:t>
      </w:r>
      <w:proofErr w:type="spellEnd"/>
      <w:r w:rsidRPr="00C025D7">
        <w:rPr>
          <w:i/>
          <w:iCs/>
          <w:sz w:val="18"/>
          <w:szCs w:val="18"/>
        </w:rPr>
        <w:t xml:space="preserve"> din </w:t>
      </w:r>
      <w:proofErr w:type="spellStart"/>
      <w:r w:rsidRPr="00C025D7">
        <w:rPr>
          <w:i/>
          <w:iCs/>
          <w:sz w:val="18"/>
          <w:szCs w:val="18"/>
        </w:rPr>
        <w:t>România</w:t>
      </w:r>
      <w:proofErr w:type="spellEnd"/>
      <w:r w:rsidRPr="00C025D7">
        <w:rPr>
          <w:i/>
          <w:iCs/>
          <w:sz w:val="18"/>
          <w:szCs w:val="18"/>
        </w:rPr>
        <w:t xml:space="preserve"> </w:t>
      </w:r>
      <w:proofErr w:type="spellStart"/>
      <w:r w:rsidRPr="00C025D7">
        <w:rPr>
          <w:i/>
          <w:iCs/>
          <w:sz w:val="18"/>
          <w:szCs w:val="18"/>
        </w:rPr>
        <w:t>între</w:t>
      </w:r>
      <w:proofErr w:type="spellEnd"/>
      <w:r w:rsidRPr="00C025D7">
        <w:rPr>
          <w:i/>
          <w:iCs/>
          <w:sz w:val="18"/>
          <w:szCs w:val="18"/>
        </w:rPr>
        <w:t xml:space="preserve"> </w:t>
      </w:r>
      <w:proofErr w:type="spellStart"/>
      <w:r w:rsidRPr="00C025D7">
        <w:rPr>
          <w:i/>
          <w:iCs/>
          <w:sz w:val="18"/>
          <w:szCs w:val="18"/>
        </w:rPr>
        <w:t>echitate</w:t>
      </w:r>
      <w:proofErr w:type="spellEnd"/>
      <w:r w:rsidRPr="00C025D7">
        <w:rPr>
          <w:i/>
          <w:iCs/>
          <w:sz w:val="18"/>
          <w:szCs w:val="18"/>
        </w:rPr>
        <w:t xml:space="preserve">, </w:t>
      </w:r>
      <w:proofErr w:type="spellStart"/>
      <w:r w:rsidRPr="00C025D7">
        <w:rPr>
          <w:i/>
          <w:iCs/>
          <w:sz w:val="18"/>
          <w:szCs w:val="18"/>
        </w:rPr>
        <w:t>sustenabilitate</w:t>
      </w:r>
      <w:proofErr w:type="spellEnd"/>
      <w:r w:rsidRPr="00C025D7">
        <w:rPr>
          <w:i/>
          <w:iCs/>
          <w:sz w:val="18"/>
          <w:szCs w:val="18"/>
        </w:rPr>
        <w:t xml:space="preserve"> </w:t>
      </w:r>
      <w:proofErr w:type="spellStart"/>
      <w:r w:rsidRPr="00C025D7">
        <w:rPr>
          <w:i/>
          <w:iCs/>
          <w:sz w:val="18"/>
          <w:szCs w:val="18"/>
        </w:rPr>
        <w:t>și</w:t>
      </w:r>
      <w:proofErr w:type="spellEnd"/>
      <w:r w:rsidRPr="00C025D7">
        <w:rPr>
          <w:i/>
          <w:iCs/>
          <w:sz w:val="18"/>
          <w:szCs w:val="18"/>
        </w:rPr>
        <w:t xml:space="preserve"> </w:t>
      </w:r>
      <w:proofErr w:type="spellStart"/>
      <w:r w:rsidRPr="00C025D7">
        <w:rPr>
          <w:i/>
          <w:iCs/>
          <w:sz w:val="18"/>
          <w:szCs w:val="18"/>
        </w:rPr>
        <w:t>performanţă</w:t>
      </w:r>
      <w:proofErr w:type="spellEnd"/>
      <w:r w:rsidRPr="00C025D7">
        <w:rPr>
          <w:sz w:val="18"/>
          <w:szCs w:val="18"/>
        </w:rPr>
        <w:t xml:space="preserve">. </w:t>
      </w:r>
      <w:r w:rsidR="00346E89">
        <w:rPr>
          <w:sz w:val="18"/>
          <w:szCs w:val="18"/>
        </w:rPr>
        <w:t>Bucharest</w:t>
      </w:r>
      <w:r w:rsidRPr="00C025D7">
        <w:rPr>
          <w:sz w:val="18"/>
          <w:szCs w:val="18"/>
        </w:rPr>
        <w:t>: CFA.</w:t>
      </w:r>
    </w:p>
    <w:p w14:paraId="102FB708" w14:textId="4F60977A" w:rsidR="005B2870" w:rsidRPr="00C025D7" w:rsidRDefault="005B2870" w:rsidP="005B2870">
      <w:pPr>
        <w:pStyle w:val="FootnoteText"/>
        <w:spacing w:after="120"/>
        <w:jc w:val="both"/>
        <w:rPr>
          <w:sz w:val="18"/>
          <w:szCs w:val="18"/>
        </w:rPr>
      </w:pPr>
      <w:r w:rsidRPr="00C025D7">
        <w:rPr>
          <w:sz w:val="18"/>
          <w:szCs w:val="18"/>
        </w:rPr>
        <w:t xml:space="preserve">Dobrescu, S. &amp; </w:t>
      </w:r>
      <w:proofErr w:type="spellStart"/>
      <w:r w:rsidRPr="00C025D7">
        <w:rPr>
          <w:sz w:val="18"/>
          <w:szCs w:val="18"/>
        </w:rPr>
        <w:t>Șeitan</w:t>
      </w:r>
      <w:proofErr w:type="spellEnd"/>
      <w:r w:rsidRPr="00C025D7">
        <w:rPr>
          <w:sz w:val="18"/>
          <w:szCs w:val="18"/>
        </w:rPr>
        <w:t xml:space="preserve">, M. (2005). </w:t>
      </w:r>
      <w:proofErr w:type="spellStart"/>
      <w:r w:rsidRPr="00C025D7">
        <w:rPr>
          <w:i/>
          <w:iCs/>
          <w:sz w:val="18"/>
          <w:szCs w:val="18"/>
        </w:rPr>
        <w:t>Pensii</w:t>
      </w:r>
      <w:proofErr w:type="spellEnd"/>
      <w:r w:rsidRPr="00C025D7">
        <w:rPr>
          <w:i/>
          <w:iCs/>
          <w:sz w:val="18"/>
          <w:szCs w:val="18"/>
        </w:rPr>
        <w:t xml:space="preserve"> private</w:t>
      </w:r>
      <w:r w:rsidRPr="00C025D7">
        <w:rPr>
          <w:sz w:val="18"/>
          <w:szCs w:val="18"/>
        </w:rPr>
        <w:t>. Buc</w:t>
      </w:r>
      <w:r w:rsidR="00687BCC">
        <w:rPr>
          <w:sz w:val="18"/>
          <w:szCs w:val="18"/>
        </w:rPr>
        <w:t>harest</w:t>
      </w:r>
      <w:r w:rsidRPr="00C025D7">
        <w:rPr>
          <w:sz w:val="18"/>
          <w:szCs w:val="18"/>
        </w:rPr>
        <w:t xml:space="preserve">: </w:t>
      </w:r>
      <w:proofErr w:type="spellStart"/>
      <w:r w:rsidRPr="00C025D7">
        <w:rPr>
          <w:sz w:val="18"/>
          <w:szCs w:val="18"/>
        </w:rPr>
        <w:t>Juridică</w:t>
      </w:r>
      <w:proofErr w:type="spellEnd"/>
      <w:r w:rsidR="00687BCC">
        <w:rPr>
          <w:sz w:val="18"/>
          <w:szCs w:val="18"/>
        </w:rPr>
        <w:t xml:space="preserve"> Publishing</w:t>
      </w:r>
      <w:r w:rsidRPr="00C025D7">
        <w:rPr>
          <w:sz w:val="18"/>
          <w:szCs w:val="18"/>
        </w:rPr>
        <w:t>.</w:t>
      </w:r>
    </w:p>
    <w:p w14:paraId="1447FECF" w14:textId="77777777" w:rsidR="00F4250D" w:rsidRPr="00C025D7" w:rsidRDefault="00F4250D" w:rsidP="00F4250D">
      <w:pPr>
        <w:pStyle w:val="FootnoteText"/>
        <w:spacing w:after="120"/>
        <w:jc w:val="both"/>
        <w:rPr>
          <w:sz w:val="18"/>
          <w:szCs w:val="18"/>
        </w:rPr>
      </w:pPr>
      <w:r w:rsidRPr="00C025D7">
        <w:rPr>
          <w:sz w:val="18"/>
          <w:szCs w:val="18"/>
        </w:rPr>
        <w:t xml:space="preserve">Financial Supervisory Authority (2024). </w:t>
      </w:r>
      <w:proofErr w:type="spellStart"/>
      <w:r w:rsidRPr="00C025D7">
        <w:rPr>
          <w:i/>
          <w:iCs/>
          <w:sz w:val="18"/>
          <w:szCs w:val="18"/>
        </w:rPr>
        <w:t>Raport</w:t>
      </w:r>
      <w:proofErr w:type="spellEnd"/>
      <w:r w:rsidRPr="00C025D7">
        <w:rPr>
          <w:i/>
          <w:iCs/>
          <w:sz w:val="18"/>
          <w:szCs w:val="18"/>
        </w:rPr>
        <w:t xml:space="preserve"> </w:t>
      </w:r>
      <w:proofErr w:type="spellStart"/>
      <w:r w:rsidRPr="00C025D7">
        <w:rPr>
          <w:i/>
          <w:iCs/>
          <w:sz w:val="18"/>
          <w:szCs w:val="18"/>
        </w:rPr>
        <w:t>privind</w:t>
      </w:r>
      <w:proofErr w:type="spellEnd"/>
      <w:r w:rsidRPr="00C025D7">
        <w:rPr>
          <w:i/>
          <w:iCs/>
          <w:sz w:val="18"/>
          <w:szCs w:val="18"/>
        </w:rPr>
        <w:t xml:space="preserve"> </w:t>
      </w:r>
      <w:proofErr w:type="spellStart"/>
      <w:r w:rsidRPr="00C025D7">
        <w:rPr>
          <w:i/>
          <w:iCs/>
          <w:sz w:val="18"/>
          <w:szCs w:val="18"/>
        </w:rPr>
        <w:t>evoluția</w:t>
      </w:r>
      <w:proofErr w:type="spellEnd"/>
      <w:r w:rsidRPr="00C025D7">
        <w:rPr>
          <w:i/>
          <w:iCs/>
          <w:sz w:val="18"/>
          <w:szCs w:val="18"/>
        </w:rPr>
        <w:t xml:space="preserve"> </w:t>
      </w:r>
      <w:proofErr w:type="spellStart"/>
      <w:r w:rsidRPr="00C025D7">
        <w:rPr>
          <w:i/>
          <w:iCs/>
          <w:sz w:val="18"/>
          <w:szCs w:val="18"/>
        </w:rPr>
        <w:t>sistemului</w:t>
      </w:r>
      <w:proofErr w:type="spellEnd"/>
      <w:r w:rsidRPr="00C025D7">
        <w:rPr>
          <w:i/>
          <w:iCs/>
          <w:sz w:val="18"/>
          <w:szCs w:val="18"/>
        </w:rPr>
        <w:t xml:space="preserve"> de </w:t>
      </w:r>
      <w:proofErr w:type="spellStart"/>
      <w:r w:rsidRPr="00C025D7">
        <w:rPr>
          <w:i/>
          <w:iCs/>
          <w:sz w:val="18"/>
          <w:szCs w:val="18"/>
        </w:rPr>
        <w:t>pensii</w:t>
      </w:r>
      <w:proofErr w:type="spellEnd"/>
      <w:r w:rsidRPr="00C025D7">
        <w:rPr>
          <w:i/>
          <w:iCs/>
          <w:sz w:val="18"/>
          <w:szCs w:val="18"/>
        </w:rPr>
        <w:t xml:space="preserve"> private </w:t>
      </w:r>
      <w:proofErr w:type="spellStart"/>
      <w:r w:rsidRPr="00C025D7">
        <w:rPr>
          <w:i/>
          <w:iCs/>
          <w:sz w:val="18"/>
          <w:szCs w:val="18"/>
        </w:rPr>
        <w:t>în</w:t>
      </w:r>
      <w:proofErr w:type="spellEnd"/>
      <w:r w:rsidRPr="00C025D7">
        <w:rPr>
          <w:i/>
          <w:iCs/>
          <w:sz w:val="18"/>
          <w:szCs w:val="18"/>
        </w:rPr>
        <w:t xml:space="preserve"> </w:t>
      </w:r>
      <w:proofErr w:type="spellStart"/>
      <w:r w:rsidRPr="00C025D7">
        <w:rPr>
          <w:i/>
          <w:iCs/>
          <w:sz w:val="18"/>
          <w:szCs w:val="18"/>
        </w:rPr>
        <w:t>anul</w:t>
      </w:r>
      <w:proofErr w:type="spellEnd"/>
      <w:r w:rsidRPr="00C025D7">
        <w:rPr>
          <w:i/>
          <w:iCs/>
          <w:sz w:val="18"/>
          <w:szCs w:val="18"/>
        </w:rPr>
        <w:t xml:space="preserve"> 2024</w:t>
      </w:r>
      <w:r w:rsidRPr="00C025D7">
        <w:rPr>
          <w:sz w:val="18"/>
          <w:szCs w:val="18"/>
        </w:rPr>
        <w:t>.</w:t>
      </w:r>
    </w:p>
    <w:p w14:paraId="2542268C" w14:textId="1163C310" w:rsidR="00C1301F" w:rsidRDefault="004C7CCD" w:rsidP="00C025D7">
      <w:pPr>
        <w:pStyle w:val="FootnoteText"/>
        <w:spacing w:after="120"/>
        <w:jc w:val="both"/>
        <w:rPr>
          <w:sz w:val="18"/>
          <w:szCs w:val="18"/>
        </w:rPr>
      </w:pPr>
      <w:r w:rsidRPr="00C025D7">
        <w:rPr>
          <w:sz w:val="18"/>
          <w:szCs w:val="18"/>
        </w:rPr>
        <w:t>v</w:t>
      </w:r>
      <w:r w:rsidR="00C86859" w:rsidRPr="00C025D7">
        <w:rPr>
          <w:sz w:val="18"/>
          <w:szCs w:val="18"/>
        </w:rPr>
        <w:t xml:space="preserve">an Meerten, </w:t>
      </w:r>
      <w:r w:rsidR="00C1301F" w:rsidRPr="00C025D7">
        <w:rPr>
          <w:sz w:val="18"/>
          <w:szCs w:val="18"/>
        </w:rPr>
        <w:t>H</w:t>
      </w:r>
      <w:r w:rsidR="00C86859" w:rsidRPr="00C025D7">
        <w:rPr>
          <w:sz w:val="18"/>
          <w:szCs w:val="18"/>
        </w:rPr>
        <w:t xml:space="preserve">. &amp; </w:t>
      </w:r>
      <w:r w:rsidRPr="00C025D7">
        <w:rPr>
          <w:sz w:val="18"/>
          <w:szCs w:val="18"/>
        </w:rPr>
        <w:t>v</w:t>
      </w:r>
      <w:r w:rsidR="00C1301F" w:rsidRPr="00C025D7">
        <w:rPr>
          <w:sz w:val="18"/>
          <w:szCs w:val="18"/>
        </w:rPr>
        <w:t>an Zanden</w:t>
      </w:r>
      <w:r w:rsidR="00C86859" w:rsidRPr="00C025D7">
        <w:rPr>
          <w:sz w:val="18"/>
          <w:szCs w:val="18"/>
        </w:rPr>
        <w:t>, J.J.</w:t>
      </w:r>
      <w:r w:rsidR="00C1301F" w:rsidRPr="00C025D7">
        <w:rPr>
          <w:sz w:val="18"/>
          <w:szCs w:val="18"/>
        </w:rPr>
        <w:t xml:space="preserve"> </w:t>
      </w:r>
      <w:r w:rsidR="009A460F" w:rsidRPr="00C025D7">
        <w:rPr>
          <w:sz w:val="18"/>
          <w:szCs w:val="18"/>
        </w:rPr>
        <w:t xml:space="preserve">(2018). </w:t>
      </w:r>
      <w:r w:rsidR="00C1301F" w:rsidRPr="00C025D7">
        <w:rPr>
          <w:sz w:val="18"/>
          <w:szCs w:val="18"/>
        </w:rPr>
        <w:t xml:space="preserve">Pensions and the PEPP: The Necessity of an EU Approach, </w:t>
      </w:r>
      <w:r w:rsidR="00C1301F" w:rsidRPr="00C025D7">
        <w:rPr>
          <w:i/>
          <w:iCs/>
          <w:sz w:val="18"/>
          <w:szCs w:val="18"/>
        </w:rPr>
        <w:t>European Company Law Journal</w:t>
      </w:r>
      <w:r w:rsidR="00C1301F" w:rsidRPr="00C025D7">
        <w:rPr>
          <w:sz w:val="18"/>
          <w:szCs w:val="18"/>
        </w:rPr>
        <w:t xml:space="preserve">, Vol. 15, </w:t>
      </w:r>
      <w:r w:rsidR="002F5D07" w:rsidRPr="00C025D7">
        <w:rPr>
          <w:sz w:val="18"/>
          <w:szCs w:val="18"/>
        </w:rPr>
        <w:t>N</w:t>
      </w:r>
      <w:r w:rsidR="00C1301F" w:rsidRPr="00C025D7">
        <w:rPr>
          <w:sz w:val="18"/>
          <w:szCs w:val="18"/>
        </w:rPr>
        <w:t>o. 3.</w:t>
      </w:r>
    </w:p>
    <w:p w14:paraId="2946DCAD" w14:textId="77777777" w:rsidR="00747807" w:rsidRPr="00C025D7" w:rsidRDefault="00747807" w:rsidP="00C025D7">
      <w:pPr>
        <w:pStyle w:val="FootnoteText"/>
        <w:spacing w:after="120"/>
        <w:jc w:val="both"/>
        <w:rPr>
          <w:sz w:val="18"/>
          <w:szCs w:val="18"/>
        </w:rPr>
      </w:pPr>
    </w:p>
    <w:p w14:paraId="280D8BCE" w14:textId="77777777" w:rsidR="00F4250D" w:rsidRPr="00C025D7" w:rsidRDefault="00F4250D">
      <w:pPr>
        <w:pStyle w:val="FootnoteText"/>
        <w:spacing w:after="120"/>
        <w:jc w:val="both"/>
        <w:rPr>
          <w:sz w:val="18"/>
          <w:szCs w:val="18"/>
        </w:rPr>
      </w:pPr>
    </w:p>
    <w:sectPr w:rsidR="00F4250D" w:rsidRPr="00C025D7" w:rsidSect="0044726B">
      <w:footnotePr>
        <w:numRestart w:val="eachPage"/>
      </w:footnotePr>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4C00" w14:textId="77777777" w:rsidR="005948EA" w:rsidRDefault="005948EA">
      <w:r>
        <w:separator/>
      </w:r>
    </w:p>
  </w:endnote>
  <w:endnote w:type="continuationSeparator" w:id="0">
    <w:p w14:paraId="00647E41" w14:textId="77777777" w:rsidR="005948EA" w:rsidRDefault="0059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D79B2" w14:textId="77777777" w:rsidR="005948EA" w:rsidRDefault="005948EA">
      <w:r>
        <w:separator/>
      </w:r>
    </w:p>
  </w:footnote>
  <w:footnote w:type="continuationSeparator" w:id="0">
    <w:p w14:paraId="00E7033B" w14:textId="77777777" w:rsidR="005948EA" w:rsidRDefault="005948EA">
      <w:r>
        <w:continuationSeparator/>
      </w:r>
    </w:p>
  </w:footnote>
  <w:footnote w:id="1">
    <w:p w14:paraId="78CF3761" w14:textId="2093DCF1" w:rsidR="00352A91" w:rsidRDefault="00352A91" w:rsidP="00AD6C40">
      <w:pPr>
        <w:pStyle w:val="FootnoteText"/>
        <w:jc w:val="both"/>
      </w:pPr>
      <w:r>
        <w:rPr>
          <w:rStyle w:val="FootnoteReference"/>
        </w:rPr>
        <w:footnoteRef/>
      </w:r>
      <w:r>
        <w:t xml:space="preserve"> </w:t>
      </w:r>
      <w:r w:rsidR="001008D5" w:rsidRPr="001008D5">
        <w:rPr>
          <w:sz w:val="18"/>
          <w:szCs w:val="18"/>
          <w:lang w:val="en-GB"/>
        </w:rPr>
        <w:t xml:space="preserve">Ph.D. </w:t>
      </w:r>
      <w:r w:rsidR="000B3F74">
        <w:rPr>
          <w:sz w:val="18"/>
          <w:szCs w:val="18"/>
          <w:lang w:val="en-GB"/>
        </w:rPr>
        <w:t>Lecturer</w:t>
      </w:r>
      <w:r w:rsidR="001008D5" w:rsidRPr="001008D5">
        <w:rPr>
          <w:sz w:val="18"/>
          <w:szCs w:val="18"/>
          <w:lang w:val="en-GB"/>
        </w:rPr>
        <w:t>, „</w:t>
      </w:r>
      <w:proofErr w:type="spellStart"/>
      <w:r w:rsidR="001008D5" w:rsidRPr="001008D5">
        <w:rPr>
          <w:sz w:val="18"/>
          <w:szCs w:val="18"/>
          <w:lang w:val="en-GB"/>
        </w:rPr>
        <w:t>Danubius</w:t>
      </w:r>
      <w:proofErr w:type="spellEnd"/>
      <w:r w:rsidR="001008D5" w:rsidRPr="001008D5">
        <w:rPr>
          <w:sz w:val="18"/>
          <w:szCs w:val="18"/>
          <w:lang w:val="en-GB"/>
        </w:rPr>
        <w:t xml:space="preserve">” University from </w:t>
      </w:r>
      <w:proofErr w:type="spellStart"/>
      <w:r w:rsidR="001008D5" w:rsidRPr="001008D5">
        <w:rPr>
          <w:sz w:val="18"/>
          <w:szCs w:val="18"/>
          <w:lang w:val="en-GB"/>
        </w:rPr>
        <w:t>Galaţi</w:t>
      </w:r>
      <w:proofErr w:type="spellEnd"/>
      <w:r w:rsidR="001008D5" w:rsidRPr="001008D5">
        <w:rPr>
          <w:sz w:val="18"/>
          <w:szCs w:val="18"/>
          <w:lang w:val="en-GB"/>
        </w:rPr>
        <w:t>, Faculty of Economic Sciences and Business Administration</w:t>
      </w:r>
      <w:r w:rsidR="00A22ABB">
        <w:rPr>
          <w:sz w:val="18"/>
          <w:szCs w:val="18"/>
          <w:lang w:val="en-GB"/>
        </w:rPr>
        <w:t>, enache_sorin_</w:t>
      </w:r>
      <w:r w:rsidR="00A22ABB" w:rsidRPr="001008D5">
        <w:rPr>
          <w:sz w:val="18"/>
          <w:szCs w:val="18"/>
          <w:lang w:val="en-GB"/>
        </w:rPr>
        <w:t>2005@yahoo.com</w:t>
      </w:r>
    </w:p>
  </w:footnote>
  <w:footnote w:id="2">
    <w:p w14:paraId="41E839AA" w14:textId="6BE7EE2E" w:rsidR="00F5564C" w:rsidRDefault="00F5564C" w:rsidP="00F5564C">
      <w:pPr>
        <w:pStyle w:val="FootnoteText"/>
        <w:jc w:val="both"/>
      </w:pPr>
      <w:r>
        <w:rPr>
          <w:rStyle w:val="FootnoteReference"/>
        </w:rPr>
        <w:footnoteRef/>
      </w:r>
      <w:r>
        <w:rPr>
          <w:sz w:val="18"/>
          <w:szCs w:val="18"/>
          <w:lang w:val="en-GB"/>
        </w:rPr>
        <w:t xml:space="preserve"> </w:t>
      </w:r>
      <w:r w:rsidRPr="001008D5">
        <w:rPr>
          <w:sz w:val="18"/>
          <w:szCs w:val="18"/>
          <w:lang w:val="en-GB"/>
        </w:rPr>
        <w:t xml:space="preserve">Ph.D. Professor, „Constantin </w:t>
      </w:r>
      <w:proofErr w:type="spellStart"/>
      <w:r w:rsidRPr="001008D5">
        <w:rPr>
          <w:sz w:val="18"/>
          <w:szCs w:val="18"/>
          <w:lang w:val="en-GB"/>
        </w:rPr>
        <w:t>Brâncoveanu</w:t>
      </w:r>
      <w:proofErr w:type="spellEnd"/>
      <w:r w:rsidRPr="001008D5">
        <w:rPr>
          <w:sz w:val="18"/>
          <w:szCs w:val="18"/>
          <w:lang w:val="en-GB"/>
        </w:rPr>
        <w:t xml:space="preserve">” University from </w:t>
      </w:r>
      <w:proofErr w:type="spellStart"/>
      <w:r w:rsidRPr="001008D5">
        <w:rPr>
          <w:sz w:val="18"/>
          <w:szCs w:val="18"/>
          <w:lang w:val="en-GB"/>
        </w:rPr>
        <w:t>Piteşti</w:t>
      </w:r>
      <w:proofErr w:type="spellEnd"/>
      <w:r w:rsidRPr="001008D5">
        <w:rPr>
          <w:sz w:val="18"/>
          <w:szCs w:val="18"/>
          <w:lang w:val="en-GB"/>
        </w:rPr>
        <w:t xml:space="preserve">, Faculty of Management-Marketing in the Economic Affairs </w:t>
      </w:r>
      <w:proofErr w:type="spellStart"/>
      <w:r w:rsidRPr="001008D5">
        <w:rPr>
          <w:sz w:val="18"/>
          <w:szCs w:val="18"/>
          <w:lang w:val="en-GB"/>
        </w:rPr>
        <w:t>Brăila</w:t>
      </w:r>
      <w:proofErr w:type="spellEnd"/>
    </w:p>
  </w:footnote>
  <w:footnote w:id="3">
    <w:p w14:paraId="408C8112" w14:textId="77777777" w:rsidR="00352A91" w:rsidRDefault="00352A91" w:rsidP="00AD6C40">
      <w:pPr>
        <w:pStyle w:val="FootnoteText"/>
        <w:jc w:val="both"/>
      </w:pPr>
      <w:r>
        <w:rPr>
          <w:rStyle w:val="FootnoteReference"/>
        </w:rPr>
        <w:footnoteRef/>
      </w:r>
      <w:r>
        <w:t xml:space="preserve"> </w:t>
      </w:r>
      <w:r w:rsidR="001008D5" w:rsidRPr="001008D5">
        <w:rPr>
          <w:sz w:val="18"/>
          <w:szCs w:val="18"/>
          <w:lang w:val="en-GB"/>
        </w:rPr>
        <w:t xml:space="preserve">Ph.D. Associate Professor, „Constantin </w:t>
      </w:r>
      <w:proofErr w:type="spellStart"/>
      <w:r w:rsidR="001008D5" w:rsidRPr="001008D5">
        <w:rPr>
          <w:sz w:val="18"/>
          <w:szCs w:val="18"/>
          <w:lang w:val="en-GB"/>
        </w:rPr>
        <w:t>Brâncoveanu</w:t>
      </w:r>
      <w:proofErr w:type="spellEnd"/>
      <w:r w:rsidR="001008D5" w:rsidRPr="001008D5">
        <w:rPr>
          <w:sz w:val="18"/>
          <w:szCs w:val="18"/>
          <w:lang w:val="en-GB"/>
        </w:rPr>
        <w:t xml:space="preserve">” University from </w:t>
      </w:r>
      <w:proofErr w:type="spellStart"/>
      <w:r w:rsidR="001008D5" w:rsidRPr="001008D5">
        <w:rPr>
          <w:sz w:val="18"/>
          <w:szCs w:val="18"/>
          <w:lang w:val="en-GB"/>
        </w:rPr>
        <w:t>Piteşti</w:t>
      </w:r>
      <w:proofErr w:type="spellEnd"/>
      <w:r w:rsidR="001008D5" w:rsidRPr="001008D5">
        <w:rPr>
          <w:sz w:val="18"/>
          <w:szCs w:val="18"/>
          <w:lang w:val="en-GB"/>
        </w:rPr>
        <w:t xml:space="preserve">, Faculty of </w:t>
      </w:r>
      <w:proofErr w:type="spellStart"/>
      <w:r w:rsidR="001008D5" w:rsidRPr="001008D5">
        <w:rPr>
          <w:sz w:val="18"/>
          <w:szCs w:val="18"/>
          <w:lang w:val="en-GB"/>
        </w:rPr>
        <w:t>of</w:t>
      </w:r>
      <w:proofErr w:type="spellEnd"/>
      <w:r w:rsidR="001008D5" w:rsidRPr="001008D5">
        <w:rPr>
          <w:sz w:val="18"/>
          <w:szCs w:val="18"/>
          <w:lang w:val="en-GB"/>
        </w:rPr>
        <w:t xml:space="preserve"> Management-Marketing in the Economic Affairs </w:t>
      </w:r>
      <w:proofErr w:type="spellStart"/>
      <w:r w:rsidR="001008D5" w:rsidRPr="001008D5">
        <w:rPr>
          <w:sz w:val="18"/>
          <w:szCs w:val="18"/>
          <w:lang w:val="en-GB"/>
        </w:rPr>
        <w:t>Brăila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DF444B2"/>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2D74388"/>
    <w:multiLevelType w:val="multilevel"/>
    <w:tmpl w:val="BF70AF80"/>
    <w:lvl w:ilvl="0">
      <w:start w:val="2"/>
      <w:numFmt w:val="decimal"/>
      <w:lvlText w:val="%1."/>
      <w:lvlJc w:val="left"/>
      <w:pPr>
        <w:ind w:left="720" w:hanging="360"/>
      </w:pPr>
      <w:rPr>
        <w:rFonts w:hint="default"/>
        <w:b/>
        <w:sz w:val="22"/>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51A43A55"/>
    <w:multiLevelType w:val="multilevel"/>
    <w:tmpl w:val="ACC6980E"/>
    <w:lvl w:ilvl="0">
      <w:start w:val="1"/>
      <w:numFmt w:val="decimal"/>
      <w:pStyle w:val="NIHeading1"/>
      <w:lvlText w:val="%1."/>
      <w:lvlJc w:val="left"/>
      <w:pPr>
        <w:tabs>
          <w:tab w:val="num" w:pos="360"/>
        </w:tabs>
        <w:ind w:left="284" w:hanging="284"/>
      </w:pPr>
      <w:rPr>
        <w:rFonts w:hint="default"/>
        <w:b/>
        <w:i w:val="0"/>
      </w:rPr>
    </w:lvl>
    <w:lvl w:ilvl="1">
      <w:start w:val="1"/>
      <w:numFmt w:val="decimal"/>
      <w:pStyle w:val="NIHeading2"/>
      <w:lvlText w:val="%1.%2."/>
      <w:lvlJc w:val="left"/>
      <w:pPr>
        <w:tabs>
          <w:tab w:val="num" w:pos="425"/>
        </w:tabs>
        <w:ind w:left="425" w:hanging="425"/>
      </w:pPr>
      <w:rPr>
        <w:rFonts w:hint="default"/>
        <w:b/>
        <w:i w:val="0"/>
      </w:rPr>
    </w:lvl>
    <w:lvl w:ilvl="2">
      <w:start w:val="1"/>
      <w:numFmt w:val="decimal"/>
      <w:pStyle w:val="NI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E785196"/>
    <w:multiLevelType w:val="multilevel"/>
    <w:tmpl w:val="5ED8F44E"/>
    <w:lvl w:ilvl="0">
      <w:start w:val="2"/>
      <w:numFmt w:val="decimal"/>
      <w:lvlText w:val="%1."/>
      <w:lvlJc w:val="left"/>
      <w:pPr>
        <w:ind w:left="360" w:hanging="360"/>
      </w:pPr>
      <w:rPr>
        <w:rFonts w:cs="Helvetica" w:hint="default"/>
        <w:sz w:val="22"/>
      </w:rPr>
    </w:lvl>
    <w:lvl w:ilvl="1">
      <w:start w:val="3"/>
      <w:numFmt w:val="decimal"/>
      <w:lvlText w:val="%1.%2."/>
      <w:lvlJc w:val="left"/>
      <w:pPr>
        <w:ind w:left="720" w:hanging="360"/>
      </w:pPr>
      <w:rPr>
        <w:rFonts w:cs="Helvetica" w:hint="default"/>
        <w:sz w:val="22"/>
      </w:rPr>
    </w:lvl>
    <w:lvl w:ilvl="2">
      <w:start w:val="1"/>
      <w:numFmt w:val="decimal"/>
      <w:lvlText w:val="%1.%2.%3."/>
      <w:lvlJc w:val="left"/>
      <w:pPr>
        <w:ind w:left="1440" w:hanging="720"/>
      </w:pPr>
      <w:rPr>
        <w:rFonts w:cs="Helvetica" w:hint="default"/>
        <w:sz w:val="22"/>
      </w:rPr>
    </w:lvl>
    <w:lvl w:ilvl="3">
      <w:start w:val="1"/>
      <w:numFmt w:val="decimal"/>
      <w:lvlText w:val="%1.%2.%3.%4."/>
      <w:lvlJc w:val="left"/>
      <w:pPr>
        <w:ind w:left="1800" w:hanging="720"/>
      </w:pPr>
      <w:rPr>
        <w:rFonts w:cs="Helvetica" w:hint="default"/>
        <w:sz w:val="22"/>
      </w:rPr>
    </w:lvl>
    <w:lvl w:ilvl="4">
      <w:start w:val="1"/>
      <w:numFmt w:val="decimal"/>
      <w:lvlText w:val="%1.%2.%3.%4.%5."/>
      <w:lvlJc w:val="left"/>
      <w:pPr>
        <w:ind w:left="2520" w:hanging="1080"/>
      </w:pPr>
      <w:rPr>
        <w:rFonts w:cs="Helvetica" w:hint="default"/>
        <w:sz w:val="22"/>
      </w:rPr>
    </w:lvl>
    <w:lvl w:ilvl="5">
      <w:start w:val="1"/>
      <w:numFmt w:val="decimal"/>
      <w:lvlText w:val="%1.%2.%3.%4.%5.%6."/>
      <w:lvlJc w:val="left"/>
      <w:pPr>
        <w:ind w:left="2880" w:hanging="1080"/>
      </w:pPr>
      <w:rPr>
        <w:rFonts w:cs="Helvetica" w:hint="default"/>
        <w:sz w:val="22"/>
      </w:rPr>
    </w:lvl>
    <w:lvl w:ilvl="6">
      <w:start w:val="1"/>
      <w:numFmt w:val="decimal"/>
      <w:lvlText w:val="%1.%2.%3.%4.%5.%6.%7."/>
      <w:lvlJc w:val="left"/>
      <w:pPr>
        <w:ind w:left="3240" w:hanging="1080"/>
      </w:pPr>
      <w:rPr>
        <w:rFonts w:cs="Helvetica" w:hint="default"/>
        <w:sz w:val="22"/>
      </w:rPr>
    </w:lvl>
    <w:lvl w:ilvl="7">
      <w:start w:val="1"/>
      <w:numFmt w:val="decimal"/>
      <w:lvlText w:val="%1.%2.%3.%4.%5.%6.%7.%8."/>
      <w:lvlJc w:val="left"/>
      <w:pPr>
        <w:ind w:left="3960" w:hanging="1440"/>
      </w:pPr>
      <w:rPr>
        <w:rFonts w:cs="Helvetica" w:hint="default"/>
        <w:sz w:val="22"/>
      </w:rPr>
    </w:lvl>
    <w:lvl w:ilvl="8">
      <w:start w:val="1"/>
      <w:numFmt w:val="decimal"/>
      <w:lvlText w:val="%1.%2.%3.%4.%5.%6.%7.%8.%9."/>
      <w:lvlJc w:val="left"/>
      <w:pPr>
        <w:ind w:left="4320" w:hanging="1440"/>
      </w:pPr>
      <w:rPr>
        <w:rFonts w:cs="Helvetica" w:hint="default"/>
        <w:sz w:val="22"/>
      </w:rPr>
    </w:lvl>
  </w:abstractNum>
  <w:abstractNum w:abstractNumId="6" w15:restartNumberingAfterBreak="0">
    <w:nsid w:val="6EF4460E"/>
    <w:multiLevelType w:val="hybridMultilevel"/>
    <w:tmpl w:val="8D3A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63A16"/>
    <w:multiLevelType w:val="multilevel"/>
    <w:tmpl w:val="28AA8EA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57044334">
    <w:abstractNumId w:val="0"/>
  </w:num>
  <w:num w:numId="2" w16cid:durableId="434635608">
    <w:abstractNumId w:val="3"/>
  </w:num>
  <w:num w:numId="3" w16cid:durableId="1395549551">
    <w:abstractNumId w:val="7"/>
  </w:num>
  <w:num w:numId="4" w16cid:durableId="1306859600">
    <w:abstractNumId w:val="3"/>
  </w:num>
  <w:num w:numId="5" w16cid:durableId="1914847697">
    <w:abstractNumId w:val="4"/>
  </w:num>
  <w:num w:numId="6" w16cid:durableId="948662902">
    <w:abstractNumId w:val="6"/>
  </w:num>
  <w:num w:numId="7" w16cid:durableId="241065924">
    <w:abstractNumId w:val="2"/>
  </w:num>
  <w:num w:numId="8" w16cid:durableId="3671423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2030989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8"/>
    <w:rsid w:val="000257CF"/>
    <w:rsid w:val="000365A5"/>
    <w:rsid w:val="00060BB6"/>
    <w:rsid w:val="000B3F74"/>
    <w:rsid w:val="000B55B7"/>
    <w:rsid w:val="000C4EE3"/>
    <w:rsid w:val="001008D5"/>
    <w:rsid w:val="0010298D"/>
    <w:rsid w:val="0014018E"/>
    <w:rsid w:val="00146589"/>
    <w:rsid w:val="001557B8"/>
    <w:rsid w:val="00156C50"/>
    <w:rsid w:val="00161B9B"/>
    <w:rsid w:val="00184FB7"/>
    <w:rsid w:val="001B60D7"/>
    <w:rsid w:val="001C2DE7"/>
    <w:rsid w:val="001E2DF8"/>
    <w:rsid w:val="00243F2B"/>
    <w:rsid w:val="00250AA3"/>
    <w:rsid w:val="002A5485"/>
    <w:rsid w:val="002F5A1D"/>
    <w:rsid w:val="002F5D07"/>
    <w:rsid w:val="0031528A"/>
    <w:rsid w:val="0032580A"/>
    <w:rsid w:val="00341206"/>
    <w:rsid w:val="00346E89"/>
    <w:rsid w:val="00350428"/>
    <w:rsid w:val="00352A91"/>
    <w:rsid w:val="00373583"/>
    <w:rsid w:val="0037362B"/>
    <w:rsid w:val="003810BC"/>
    <w:rsid w:val="003A2ECE"/>
    <w:rsid w:val="003C6A9F"/>
    <w:rsid w:val="003E4E3C"/>
    <w:rsid w:val="003F098D"/>
    <w:rsid w:val="0041068C"/>
    <w:rsid w:val="0044726B"/>
    <w:rsid w:val="004528E2"/>
    <w:rsid w:val="004647FF"/>
    <w:rsid w:val="0048740D"/>
    <w:rsid w:val="004A486B"/>
    <w:rsid w:val="004C7CCD"/>
    <w:rsid w:val="004E06C8"/>
    <w:rsid w:val="004E0ED7"/>
    <w:rsid w:val="004E3FDE"/>
    <w:rsid w:val="005101B8"/>
    <w:rsid w:val="00513956"/>
    <w:rsid w:val="00532AF6"/>
    <w:rsid w:val="00545977"/>
    <w:rsid w:val="005520B8"/>
    <w:rsid w:val="00561880"/>
    <w:rsid w:val="0057392C"/>
    <w:rsid w:val="005834F2"/>
    <w:rsid w:val="005920E3"/>
    <w:rsid w:val="005948EA"/>
    <w:rsid w:val="005A57AA"/>
    <w:rsid w:val="005B2870"/>
    <w:rsid w:val="005C62B5"/>
    <w:rsid w:val="005D6311"/>
    <w:rsid w:val="00616850"/>
    <w:rsid w:val="00662001"/>
    <w:rsid w:val="00681DD1"/>
    <w:rsid w:val="00685476"/>
    <w:rsid w:val="00685647"/>
    <w:rsid w:val="00687BCC"/>
    <w:rsid w:val="006C7B0F"/>
    <w:rsid w:val="006F71A0"/>
    <w:rsid w:val="00702A2E"/>
    <w:rsid w:val="0072535B"/>
    <w:rsid w:val="00726305"/>
    <w:rsid w:val="00743E85"/>
    <w:rsid w:val="0074548C"/>
    <w:rsid w:val="00747807"/>
    <w:rsid w:val="00762FDD"/>
    <w:rsid w:val="007772EF"/>
    <w:rsid w:val="00797C0A"/>
    <w:rsid w:val="007A6670"/>
    <w:rsid w:val="007B7F9D"/>
    <w:rsid w:val="007D1FB3"/>
    <w:rsid w:val="007F3F15"/>
    <w:rsid w:val="00812DEA"/>
    <w:rsid w:val="00815304"/>
    <w:rsid w:val="0082152F"/>
    <w:rsid w:val="00840BE4"/>
    <w:rsid w:val="00844A32"/>
    <w:rsid w:val="00846173"/>
    <w:rsid w:val="0087712A"/>
    <w:rsid w:val="008802AF"/>
    <w:rsid w:val="00884BFC"/>
    <w:rsid w:val="008D1C1C"/>
    <w:rsid w:val="008D4C03"/>
    <w:rsid w:val="0093590F"/>
    <w:rsid w:val="00953A60"/>
    <w:rsid w:val="0097022F"/>
    <w:rsid w:val="009A460F"/>
    <w:rsid w:val="009C785F"/>
    <w:rsid w:val="009E0F7B"/>
    <w:rsid w:val="009E2A3C"/>
    <w:rsid w:val="009F431A"/>
    <w:rsid w:val="00A03A3B"/>
    <w:rsid w:val="00A22ABB"/>
    <w:rsid w:val="00A737B9"/>
    <w:rsid w:val="00A90C4E"/>
    <w:rsid w:val="00AA37BB"/>
    <w:rsid w:val="00AA43D4"/>
    <w:rsid w:val="00AB0039"/>
    <w:rsid w:val="00AC3F7E"/>
    <w:rsid w:val="00AC79A6"/>
    <w:rsid w:val="00AD6C40"/>
    <w:rsid w:val="00B33004"/>
    <w:rsid w:val="00B62953"/>
    <w:rsid w:val="00B87798"/>
    <w:rsid w:val="00BA1672"/>
    <w:rsid w:val="00C025D7"/>
    <w:rsid w:val="00C1301F"/>
    <w:rsid w:val="00C2387A"/>
    <w:rsid w:val="00C367DB"/>
    <w:rsid w:val="00C5789F"/>
    <w:rsid w:val="00C61045"/>
    <w:rsid w:val="00C667DD"/>
    <w:rsid w:val="00C82C09"/>
    <w:rsid w:val="00C86859"/>
    <w:rsid w:val="00CB48CF"/>
    <w:rsid w:val="00CD7990"/>
    <w:rsid w:val="00D26C9C"/>
    <w:rsid w:val="00D806CB"/>
    <w:rsid w:val="00D80DA5"/>
    <w:rsid w:val="00D84DDF"/>
    <w:rsid w:val="00DA4D74"/>
    <w:rsid w:val="00DC54E3"/>
    <w:rsid w:val="00DD3648"/>
    <w:rsid w:val="00E12688"/>
    <w:rsid w:val="00E41DB9"/>
    <w:rsid w:val="00E46EAA"/>
    <w:rsid w:val="00E52C92"/>
    <w:rsid w:val="00E60B94"/>
    <w:rsid w:val="00E7060A"/>
    <w:rsid w:val="00ED3C6B"/>
    <w:rsid w:val="00EE4741"/>
    <w:rsid w:val="00EF56B2"/>
    <w:rsid w:val="00F142C1"/>
    <w:rsid w:val="00F2443F"/>
    <w:rsid w:val="00F4250D"/>
    <w:rsid w:val="00F5564C"/>
    <w:rsid w:val="00F86615"/>
    <w:rsid w:val="00FA62C6"/>
    <w:rsid w:val="00FC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5C83"/>
  <w15:docId w15:val="{38791D55-D1A0-407A-A05C-FA8DE08C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AA5"/>
    <w:rPr>
      <w:lang w:val="el-GR" w:eastAsia="ro-RO"/>
    </w:rPr>
  </w:style>
  <w:style w:type="paragraph" w:styleId="Heading1">
    <w:name w:val="heading 1"/>
    <w:basedOn w:val="Normal"/>
    <w:next w:val="Normal"/>
    <w:link w:val="Heading1Char"/>
    <w:uiPriority w:val="9"/>
    <w:qFormat/>
    <w:rsid w:val="00EB7AA5"/>
    <w:pPr>
      <w:keepNext/>
      <w:jc w:val="both"/>
      <w:outlineLvl w:val="0"/>
    </w:pPr>
    <w:rPr>
      <w:rFonts w:eastAsia="MS Mincho"/>
      <w:b/>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B7AA5"/>
    <w:pPr>
      <w:jc w:val="center"/>
    </w:pPr>
    <w:rPr>
      <w:rFonts w:eastAsia="MS Mincho"/>
      <w:b/>
      <w:sz w:val="28"/>
      <w:lang w:val="en-US" w:eastAsia="ja-JP"/>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rsid w:val="00EB7AA5"/>
    <w:rPr>
      <w:rFonts w:eastAsia="MS Mincho"/>
      <w:lang w:val="en-US" w:eastAsia="ja-JP"/>
    </w:rPr>
  </w:style>
  <w:style w:type="character" w:styleId="FootnoteReference">
    <w:name w:val="footnote reference"/>
    <w:aliases w:val="BVI fnr Char Char Caracter Char Caracter Char Caracter Char Caracter Char Caracter Char Char Char Char Char Char Char,Footnote symbol, BVI fnr,SUPERS"/>
    <w:basedOn w:val="DefaultParagraphFont"/>
    <w:link w:val="BVIfnrCharCharCaracterCharCaracterCharCaracterCharCaracterCharCaracterCharCharCharCharCharChar"/>
    <w:rsid w:val="00EB7AA5"/>
    <w:rPr>
      <w:vertAlign w:val="superscript"/>
    </w:rPr>
  </w:style>
  <w:style w:type="character" w:styleId="Hyperlink">
    <w:name w:val="Hyperlink"/>
    <w:basedOn w:val="DefaultParagraphFont"/>
    <w:rsid w:val="00EB7AA5"/>
    <w:rPr>
      <w:color w:val="0000FF"/>
      <w:u w:val="single"/>
    </w:rPr>
  </w:style>
  <w:style w:type="paragraph" w:customStyle="1" w:styleId="References">
    <w:name w:val="References"/>
    <w:basedOn w:val="ListNumber"/>
    <w:rsid w:val="00EB7AA5"/>
    <w:pPr>
      <w:numPr>
        <w:numId w:val="2"/>
      </w:numPr>
      <w:autoSpaceDE w:val="0"/>
      <w:autoSpaceDN w:val="0"/>
      <w:jc w:val="both"/>
    </w:pPr>
    <w:rPr>
      <w:sz w:val="16"/>
      <w:lang w:val="en-US" w:eastAsia="ja-JP"/>
    </w:rPr>
  </w:style>
  <w:style w:type="paragraph" w:customStyle="1" w:styleId="Titleofpaper">
    <w:name w:val="Title of paper"/>
    <w:basedOn w:val="Title"/>
    <w:rsid w:val="00EB7AA5"/>
  </w:style>
  <w:style w:type="paragraph" w:customStyle="1" w:styleId="Authors">
    <w:name w:val="Authors"/>
    <w:basedOn w:val="Normal"/>
    <w:rsid w:val="00EB7AA5"/>
    <w:pPr>
      <w:jc w:val="center"/>
    </w:pPr>
    <w:rPr>
      <w:rFonts w:eastAsia="MS Mincho"/>
      <w:sz w:val="24"/>
      <w:lang w:val="en-US" w:eastAsia="ja-JP"/>
    </w:rPr>
  </w:style>
  <w:style w:type="paragraph" w:customStyle="1" w:styleId="Address">
    <w:name w:val="Address"/>
    <w:basedOn w:val="Normal"/>
    <w:rsid w:val="00EB7AA5"/>
    <w:pPr>
      <w:jc w:val="center"/>
    </w:pPr>
    <w:rPr>
      <w:rFonts w:eastAsia="MS Mincho"/>
      <w:i/>
      <w:sz w:val="24"/>
      <w:lang w:val="en-US" w:eastAsia="ja-JP"/>
    </w:rPr>
  </w:style>
  <w:style w:type="paragraph" w:customStyle="1" w:styleId="MainBody">
    <w:name w:val="Main Body"/>
    <w:basedOn w:val="BodyText"/>
    <w:rsid w:val="00EB7AA5"/>
    <w:pPr>
      <w:spacing w:after="0"/>
      <w:jc w:val="both"/>
    </w:pPr>
    <w:rPr>
      <w:rFonts w:eastAsia="MS Mincho"/>
      <w:lang w:val="en-US" w:eastAsia="ja-JP"/>
    </w:rPr>
  </w:style>
  <w:style w:type="paragraph" w:customStyle="1" w:styleId="Abstract">
    <w:name w:val="Abstract"/>
    <w:basedOn w:val="Normal"/>
    <w:rsid w:val="00EB7AA5"/>
    <w:pPr>
      <w:ind w:left="720" w:right="720"/>
      <w:jc w:val="both"/>
    </w:pPr>
    <w:rPr>
      <w:rFonts w:eastAsia="MS Mincho"/>
      <w:sz w:val="18"/>
      <w:lang w:val="en-US" w:eastAsia="ja-JP"/>
    </w:rPr>
  </w:style>
  <w:style w:type="paragraph" w:styleId="ListNumber">
    <w:name w:val="List Number"/>
    <w:basedOn w:val="Normal"/>
    <w:rsid w:val="00EB7AA5"/>
    <w:pPr>
      <w:numPr>
        <w:numId w:val="1"/>
      </w:numPr>
    </w:pPr>
  </w:style>
  <w:style w:type="paragraph" w:styleId="BodyText">
    <w:name w:val="Body Text"/>
    <w:basedOn w:val="Normal"/>
    <w:rsid w:val="00EB7AA5"/>
    <w:pPr>
      <w:spacing w:after="120"/>
    </w:pPr>
  </w:style>
  <w:style w:type="paragraph" w:customStyle="1" w:styleId="NITextBody">
    <w:name w:val="NI Text Body"/>
    <w:rsid w:val="00671BC5"/>
    <w:pPr>
      <w:suppressAutoHyphens/>
      <w:spacing w:after="120"/>
      <w:jc w:val="both"/>
    </w:pPr>
    <w:rPr>
      <w:rFonts w:eastAsia="BatangChe"/>
      <w:lang w:val="en-GB" w:eastAsia="ja-JP" w:bidi="he-IL"/>
    </w:rPr>
  </w:style>
  <w:style w:type="paragraph" w:customStyle="1" w:styleId="NIHeading1">
    <w:name w:val="NI Heading 1"/>
    <w:next w:val="NITextBody"/>
    <w:rsid w:val="009B402B"/>
    <w:pPr>
      <w:keepNext/>
      <w:numPr>
        <w:numId w:val="5"/>
      </w:numPr>
      <w:suppressAutoHyphens/>
      <w:spacing w:before="240" w:after="120"/>
      <w:outlineLvl w:val="0"/>
    </w:pPr>
    <w:rPr>
      <w:rFonts w:ascii="Arial" w:eastAsia="BatangChe" w:hAnsi="Arial"/>
      <w:b/>
      <w:sz w:val="24"/>
      <w:lang w:val="en-GB" w:eastAsia="ja-JP" w:bidi="he-IL"/>
    </w:rPr>
  </w:style>
  <w:style w:type="paragraph" w:customStyle="1" w:styleId="NIHeading2">
    <w:name w:val="NI Heading 2"/>
    <w:next w:val="NITextBody"/>
    <w:rsid w:val="009B402B"/>
    <w:pPr>
      <w:keepNext/>
      <w:numPr>
        <w:ilvl w:val="1"/>
        <w:numId w:val="5"/>
      </w:numPr>
      <w:suppressAutoHyphens/>
      <w:spacing w:before="120" w:after="120"/>
      <w:outlineLvl w:val="1"/>
    </w:pPr>
    <w:rPr>
      <w:rFonts w:ascii="Arial" w:eastAsia="BatangChe" w:hAnsi="Arial"/>
      <w:b/>
      <w:sz w:val="22"/>
      <w:lang w:val="en-GB" w:eastAsia="ja-JP" w:bidi="he-IL"/>
    </w:rPr>
  </w:style>
  <w:style w:type="paragraph" w:customStyle="1" w:styleId="NIHeading3">
    <w:name w:val="NI Heading 3"/>
    <w:next w:val="NITextBody"/>
    <w:rsid w:val="009B402B"/>
    <w:pPr>
      <w:keepNext/>
      <w:numPr>
        <w:ilvl w:val="2"/>
        <w:numId w:val="5"/>
      </w:numPr>
      <w:suppressAutoHyphens/>
      <w:spacing w:before="120" w:after="120"/>
    </w:pPr>
    <w:rPr>
      <w:rFonts w:ascii="Arial" w:eastAsia="BatangChe" w:hAnsi="Arial"/>
      <w:b/>
      <w:lang w:val="en-GB" w:eastAsia="ja-JP" w:bidi="he-IL"/>
    </w:rPr>
  </w:style>
  <w:style w:type="paragraph" w:customStyle="1" w:styleId="NIEquationCaption">
    <w:name w:val="NI Equation Caption"/>
    <w:basedOn w:val="Caption"/>
    <w:rsid w:val="00724D3D"/>
    <w:pPr>
      <w:keepNext/>
      <w:wordWrap w:val="0"/>
      <w:overflowPunct w:val="0"/>
      <w:autoSpaceDE w:val="0"/>
      <w:autoSpaceDN w:val="0"/>
      <w:adjustRightInd w:val="0"/>
      <w:spacing w:before="120" w:after="120"/>
    </w:pPr>
    <w:rPr>
      <w:rFonts w:eastAsia="BatangChe"/>
      <w:bCs w:val="0"/>
      <w:lang w:val="en-GB" w:eastAsia="ko-KR" w:bidi="he-IL"/>
    </w:rPr>
  </w:style>
  <w:style w:type="paragraph" w:styleId="Caption">
    <w:name w:val="caption"/>
    <w:basedOn w:val="Normal"/>
    <w:next w:val="Normal"/>
    <w:uiPriority w:val="35"/>
    <w:qFormat/>
    <w:rsid w:val="00724D3D"/>
    <w:rPr>
      <w:b/>
      <w:bCs/>
    </w:rPr>
  </w:style>
  <w:style w:type="paragraph" w:customStyle="1" w:styleId="NIAbstractTitle">
    <w:name w:val="NI Abstract Title"/>
    <w:next w:val="Normal"/>
    <w:rsid w:val="00073962"/>
    <w:pPr>
      <w:suppressAutoHyphens/>
      <w:spacing w:before="480" w:after="120"/>
      <w:jc w:val="center"/>
    </w:pPr>
    <w:rPr>
      <w:rFonts w:ascii="Arial" w:eastAsia="BatangChe" w:hAnsi="Arial" w:cs="Arial"/>
      <w:b/>
      <w:sz w:val="22"/>
      <w:lang w:val="en-GB" w:eastAsia="ja-JP" w:bidi="he-IL"/>
    </w:rPr>
  </w:style>
  <w:style w:type="paragraph" w:customStyle="1" w:styleId="NITableCell">
    <w:name w:val="NI Table Cell"/>
    <w:next w:val="NITextBody"/>
    <w:rsid w:val="00203A58"/>
    <w:pPr>
      <w:spacing w:before="40" w:after="40"/>
    </w:pPr>
    <w:rPr>
      <w:rFonts w:ascii="MS PGothic" w:eastAsia="MS PGothic" w:cs="MS PGothic"/>
      <w:lang w:val="en-GB" w:eastAsia="ja-JP" w:bidi="he-IL"/>
    </w:rPr>
  </w:style>
  <w:style w:type="paragraph" w:customStyle="1" w:styleId="tabletitle">
    <w:name w:val="table title"/>
    <w:basedOn w:val="Normal"/>
    <w:next w:val="Normal"/>
    <w:rsid w:val="00203A58"/>
    <w:pPr>
      <w:keepNext/>
      <w:keepLines/>
      <w:spacing w:before="240" w:after="120"/>
      <w:jc w:val="both"/>
    </w:pPr>
    <w:rPr>
      <w:rFonts w:ascii="Times" w:hAnsi="Times"/>
      <w:sz w:val="18"/>
      <w:lang w:val="de-DE" w:eastAsia="de-DE"/>
    </w:rPr>
  </w:style>
  <w:style w:type="paragraph" w:customStyle="1" w:styleId="heading2">
    <w:name w:val="heading2"/>
    <w:basedOn w:val="Normal"/>
    <w:next w:val="p1a"/>
    <w:rsid w:val="00783D2D"/>
    <w:pPr>
      <w:keepNext/>
      <w:keepLines/>
      <w:tabs>
        <w:tab w:val="left" w:pos="510"/>
      </w:tabs>
      <w:suppressAutoHyphens/>
      <w:spacing w:before="440" w:after="220"/>
      <w:jc w:val="both"/>
    </w:pPr>
    <w:rPr>
      <w:rFonts w:ascii="Times" w:hAnsi="Times"/>
      <w:b/>
      <w:lang w:val="en-US" w:eastAsia="de-DE"/>
    </w:rPr>
  </w:style>
  <w:style w:type="paragraph" w:customStyle="1" w:styleId="p1a">
    <w:name w:val="p1a"/>
    <w:basedOn w:val="Normal"/>
    <w:next w:val="Normal"/>
    <w:link w:val="p1aZchn"/>
    <w:rsid w:val="00783D2D"/>
    <w:pPr>
      <w:jc w:val="both"/>
    </w:pPr>
    <w:rPr>
      <w:rFonts w:ascii="Times" w:hAnsi="Times"/>
      <w:lang w:val="en-US" w:eastAsia="de-DE"/>
    </w:rPr>
  </w:style>
  <w:style w:type="character" w:customStyle="1" w:styleId="p1aZchn">
    <w:name w:val="p1a Zchn"/>
    <w:basedOn w:val="DefaultParagraphFont"/>
    <w:link w:val="p1a"/>
    <w:rsid w:val="00783D2D"/>
    <w:rPr>
      <w:rFonts w:ascii="Times" w:hAnsi="Times"/>
      <w:lang w:eastAsia="de-DE"/>
    </w:rPr>
  </w:style>
  <w:style w:type="paragraph" w:customStyle="1" w:styleId="Text">
    <w:name w:val="Text"/>
    <w:basedOn w:val="Normal"/>
    <w:rsid w:val="008048CE"/>
    <w:pPr>
      <w:widowControl w:val="0"/>
      <w:autoSpaceDE w:val="0"/>
      <w:autoSpaceDN w:val="0"/>
      <w:spacing w:line="252" w:lineRule="auto"/>
      <w:ind w:firstLine="202"/>
      <w:jc w:val="both"/>
    </w:pPr>
    <w:rPr>
      <w:lang w:val="en-US" w:eastAsia="en-US"/>
    </w:rPr>
  </w:style>
  <w:style w:type="paragraph" w:customStyle="1" w:styleId="heading3">
    <w:name w:val="heading3"/>
    <w:basedOn w:val="Normal"/>
    <w:next w:val="p1a"/>
    <w:link w:val="heading3Zchn"/>
    <w:rsid w:val="006E2AAB"/>
    <w:pPr>
      <w:keepNext/>
      <w:keepLines/>
      <w:tabs>
        <w:tab w:val="left" w:pos="284"/>
      </w:tabs>
      <w:suppressAutoHyphens/>
      <w:spacing w:before="320"/>
      <w:jc w:val="both"/>
    </w:pPr>
    <w:rPr>
      <w:rFonts w:ascii="Times" w:hAnsi="Times"/>
      <w:b/>
      <w:lang w:val="en-US" w:eastAsia="de-DE"/>
    </w:rPr>
  </w:style>
  <w:style w:type="character" w:customStyle="1" w:styleId="heading3Zchn">
    <w:name w:val="heading3 Zchn"/>
    <w:basedOn w:val="DefaultParagraphFont"/>
    <w:link w:val="heading3"/>
    <w:rsid w:val="006E2AAB"/>
    <w:rPr>
      <w:rFonts w:ascii="Times" w:hAnsi="Times"/>
      <w:b/>
      <w:lang w:eastAsia="de-DE"/>
    </w:rPr>
  </w:style>
  <w:style w:type="character" w:customStyle="1" w:styleId="Heading1Char">
    <w:name w:val="Heading 1 Char"/>
    <w:basedOn w:val="DefaultParagraphFont"/>
    <w:link w:val="Heading1"/>
    <w:uiPriority w:val="9"/>
    <w:rsid w:val="00861517"/>
    <w:rPr>
      <w:rFonts w:eastAsia="MS Mincho"/>
      <w:b/>
      <w:sz w:val="24"/>
      <w:lang w:eastAsia="ja-JP"/>
    </w:rPr>
  </w:style>
  <w:style w:type="paragraph" w:styleId="Bibliography">
    <w:name w:val="Bibliography"/>
    <w:basedOn w:val="Normal"/>
    <w:next w:val="Normal"/>
    <w:rsid w:val="00861517"/>
  </w:style>
  <w:style w:type="paragraph" w:styleId="BalloonText">
    <w:name w:val="Balloon Text"/>
    <w:basedOn w:val="Normal"/>
    <w:link w:val="BalloonTextChar"/>
    <w:rsid w:val="00161B9B"/>
    <w:rPr>
      <w:rFonts w:ascii="Tahoma" w:hAnsi="Tahoma" w:cs="Tahoma"/>
      <w:sz w:val="16"/>
      <w:szCs w:val="16"/>
    </w:rPr>
  </w:style>
  <w:style w:type="character" w:customStyle="1" w:styleId="BalloonTextChar">
    <w:name w:val="Balloon Text Char"/>
    <w:basedOn w:val="DefaultParagraphFont"/>
    <w:link w:val="BalloonText"/>
    <w:rsid w:val="00161B9B"/>
    <w:rPr>
      <w:rFonts w:ascii="Tahoma" w:hAnsi="Tahoma" w:cs="Tahoma"/>
      <w:sz w:val="16"/>
      <w:szCs w:val="16"/>
      <w:lang w:val="el-GR" w:eastAsia="ro-RO"/>
    </w:rPr>
  </w:style>
  <w:style w:type="paragraph" w:styleId="ListParagraph">
    <w:name w:val="List Paragraph"/>
    <w:basedOn w:val="Normal"/>
    <w:uiPriority w:val="34"/>
    <w:qFormat/>
    <w:rsid w:val="00C82C09"/>
    <w:pPr>
      <w:ind w:left="720"/>
      <w:contextualSpacing/>
      <w:jc w:val="both"/>
    </w:pPr>
    <w:rPr>
      <w:rFonts w:eastAsiaTheme="minorHAnsi" w:cstheme="minorBidi"/>
      <w:sz w:val="22"/>
      <w:szCs w:val="22"/>
      <w:lang w:val="en-US" w:eastAsia="en-US"/>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rsid w:val="00AD6C40"/>
    <w:rPr>
      <w:rFonts w:eastAsia="MS Mincho"/>
      <w:lang w:eastAsia="ja-JP"/>
    </w:rPr>
  </w:style>
  <w:style w:type="paragraph" w:customStyle="1" w:styleId="BVIfnrCharCharCaracterCharCaracterCharCaracterCharCaracterCharCaracterCharCharCharCharCharChar">
    <w:name w:val="BVI fnr Char Char Caracter Char Caracter Char Caracter Char Caracter Char Caracter Char Char Char Char Char Char"/>
    <w:aliases w:val="Char Char1 Char Char Char Char Char Char Caracter1 Char Caracter Char Caracter Char Caracter Char Char Caracter Char"/>
    <w:basedOn w:val="Normal"/>
    <w:next w:val="Normal"/>
    <w:link w:val="FootnoteReference"/>
    <w:rsid w:val="001008D5"/>
    <w:pPr>
      <w:spacing w:after="160" w:line="240" w:lineRule="exact"/>
    </w:pPr>
    <w:rPr>
      <w:vertAlign w:val="superscript"/>
      <w:lang w:val="en-US" w:eastAsia="en-US"/>
    </w:rPr>
  </w:style>
  <w:style w:type="character" w:customStyle="1" w:styleId="hps">
    <w:name w:val="hps"/>
    <w:rsid w:val="001008D5"/>
    <w:rPr>
      <w:rFonts w:ascii="Times New Roman" w:hAnsi="Times New Roman" w:cs="Times New Roman"/>
    </w:rPr>
  </w:style>
  <w:style w:type="character" w:styleId="UnresolvedMention">
    <w:name w:val="Unresolved Mention"/>
    <w:basedOn w:val="DefaultParagraphFont"/>
    <w:uiPriority w:val="99"/>
    <w:semiHidden/>
    <w:unhideWhenUsed/>
    <w:rsid w:val="00A737B9"/>
    <w:rPr>
      <w:color w:val="605E5C"/>
      <w:shd w:val="clear" w:color="auto" w:fill="E1DFDD"/>
    </w:rPr>
  </w:style>
  <w:style w:type="character" w:customStyle="1" w:styleId="TitleChar">
    <w:name w:val="Title Char"/>
    <w:basedOn w:val="DefaultParagraphFont"/>
    <w:link w:val="Title"/>
    <w:uiPriority w:val="10"/>
    <w:rsid w:val="00EE4741"/>
    <w:rPr>
      <w:rFonts w:eastAsia="MS Mincho"/>
      <w:b/>
      <w:sz w:val="28"/>
      <w:lang w:eastAsia="ja-JP"/>
    </w:rPr>
  </w:style>
  <w:style w:type="character" w:customStyle="1" w:styleId="FootnoteCharacters">
    <w:name w:val="Footnote Characters"/>
    <w:rsid w:val="0093590F"/>
    <w:rPr>
      <w:vertAlign w:val="superscript"/>
    </w:rPr>
  </w:style>
  <w:style w:type="character" w:customStyle="1" w:styleId="Caracterelenoteidesubsol">
    <w:name w:val="Caracterele notei de subsol"/>
    <w:rsid w:val="0093590F"/>
  </w:style>
  <w:style w:type="paragraph" w:styleId="HTMLPreformatted">
    <w:name w:val="HTML Preformatted"/>
    <w:basedOn w:val="Normal"/>
    <w:link w:val="HTMLPreformattedChar"/>
    <w:semiHidden/>
    <w:unhideWhenUsed/>
    <w:rsid w:val="004E0ED7"/>
    <w:rPr>
      <w:rFonts w:ascii="Consolas" w:hAnsi="Consolas"/>
    </w:rPr>
  </w:style>
  <w:style w:type="character" w:customStyle="1" w:styleId="HTMLPreformattedChar">
    <w:name w:val="HTML Preformatted Char"/>
    <w:basedOn w:val="DefaultParagraphFont"/>
    <w:link w:val="HTMLPreformatted"/>
    <w:semiHidden/>
    <w:rsid w:val="004E0ED7"/>
    <w:rPr>
      <w:rFonts w:ascii="Consolas" w:hAnsi="Consolas"/>
      <w:lang w:val="el-GR" w:eastAsia="ro-RO"/>
    </w:rPr>
  </w:style>
  <w:style w:type="character" w:styleId="FollowedHyperlink">
    <w:name w:val="FollowedHyperlink"/>
    <w:basedOn w:val="DefaultParagraphFont"/>
    <w:semiHidden/>
    <w:unhideWhenUsed/>
    <w:rsid w:val="006854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186">
      <w:bodyDiv w:val="1"/>
      <w:marLeft w:val="0"/>
      <w:marRight w:val="0"/>
      <w:marTop w:val="0"/>
      <w:marBottom w:val="0"/>
      <w:divBdr>
        <w:top w:val="none" w:sz="0" w:space="0" w:color="auto"/>
        <w:left w:val="none" w:sz="0" w:space="0" w:color="auto"/>
        <w:bottom w:val="none" w:sz="0" w:space="0" w:color="auto"/>
        <w:right w:val="none" w:sz="0" w:space="0" w:color="auto"/>
      </w:divBdr>
    </w:div>
    <w:div w:id="31999460">
      <w:bodyDiv w:val="1"/>
      <w:marLeft w:val="0"/>
      <w:marRight w:val="0"/>
      <w:marTop w:val="0"/>
      <w:marBottom w:val="0"/>
      <w:divBdr>
        <w:top w:val="none" w:sz="0" w:space="0" w:color="auto"/>
        <w:left w:val="none" w:sz="0" w:space="0" w:color="auto"/>
        <w:bottom w:val="none" w:sz="0" w:space="0" w:color="auto"/>
        <w:right w:val="none" w:sz="0" w:space="0" w:color="auto"/>
      </w:divBdr>
    </w:div>
    <w:div w:id="87043924">
      <w:bodyDiv w:val="1"/>
      <w:marLeft w:val="0"/>
      <w:marRight w:val="0"/>
      <w:marTop w:val="0"/>
      <w:marBottom w:val="0"/>
      <w:divBdr>
        <w:top w:val="none" w:sz="0" w:space="0" w:color="auto"/>
        <w:left w:val="none" w:sz="0" w:space="0" w:color="auto"/>
        <w:bottom w:val="none" w:sz="0" w:space="0" w:color="auto"/>
        <w:right w:val="none" w:sz="0" w:space="0" w:color="auto"/>
      </w:divBdr>
    </w:div>
    <w:div w:id="110059047">
      <w:bodyDiv w:val="1"/>
      <w:marLeft w:val="0"/>
      <w:marRight w:val="0"/>
      <w:marTop w:val="0"/>
      <w:marBottom w:val="0"/>
      <w:divBdr>
        <w:top w:val="none" w:sz="0" w:space="0" w:color="auto"/>
        <w:left w:val="none" w:sz="0" w:space="0" w:color="auto"/>
        <w:bottom w:val="none" w:sz="0" w:space="0" w:color="auto"/>
        <w:right w:val="none" w:sz="0" w:space="0" w:color="auto"/>
      </w:divBdr>
    </w:div>
    <w:div w:id="141778229">
      <w:bodyDiv w:val="1"/>
      <w:marLeft w:val="0"/>
      <w:marRight w:val="0"/>
      <w:marTop w:val="0"/>
      <w:marBottom w:val="0"/>
      <w:divBdr>
        <w:top w:val="none" w:sz="0" w:space="0" w:color="auto"/>
        <w:left w:val="none" w:sz="0" w:space="0" w:color="auto"/>
        <w:bottom w:val="none" w:sz="0" w:space="0" w:color="auto"/>
        <w:right w:val="none" w:sz="0" w:space="0" w:color="auto"/>
      </w:divBdr>
    </w:div>
    <w:div w:id="189807255">
      <w:bodyDiv w:val="1"/>
      <w:marLeft w:val="0"/>
      <w:marRight w:val="0"/>
      <w:marTop w:val="0"/>
      <w:marBottom w:val="0"/>
      <w:divBdr>
        <w:top w:val="none" w:sz="0" w:space="0" w:color="auto"/>
        <w:left w:val="none" w:sz="0" w:space="0" w:color="auto"/>
        <w:bottom w:val="none" w:sz="0" w:space="0" w:color="auto"/>
        <w:right w:val="none" w:sz="0" w:space="0" w:color="auto"/>
      </w:divBdr>
    </w:div>
    <w:div w:id="215044568">
      <w:bodyDiv w:val="1"/>
      <w:marLeft w:val="0"/>
      <w:marRight w:val="0"/>
      <w:marTop w:val="0"/>
      <w:marBottom w:val="0"/>
      <w:divBdr>
        <w:top w:val="none" w:sz="0" w:space="0" w:color="auto"/>
        <w:left w:val="none" w:sz="0" w:space="0" w:color="auto"/>
        <w:bottom w:val="none" w:sz="0" w:space="0" w:color="auto"/>
        <w:right w:val="none" w:sz="0" w:space="0" w:color="auto"/>
      </w:divBdr>
    </w:div>
    <w:div w:id="226847095">
      <w:bodyDiv w:val="1"/>
      <w:marLeft w:val="0"/>
      <w:marRight w:val="0"/>
      <w:marTop w:val="0"/>
      <w:marBottom w:val="0"/>
      <w:divBdr>
        <w:top w:val="none" w:sz="0" w:space="0" w:color="auto"/>
        <w:left w:val="none" w:sz="0" w:space="0" w:color="auto"/>
        <w:bottom w:val="none" w:sz="0" w:space="0" w:color="auto"/>
        <w:right w:val="none" w:sz="0" w:space="0" w:color="auto"/>
      </w:divBdr>
    </w:div>
    <w:div w:id="247621564">
      <w:bodyDiv w:val="1"/>
      <w:marLeft w:val="0"/>
      <w:marRight w:val="0"/>
      <w:marTop w:val="0"/>
      <w:marBottom w:val="0"/>
      <w:divBdr>
        <w:top w:val="none" w:sz="0" w:space="0" w:color="auto"/>
        <w:left w:val="none" w:sz="0" w:space="0" w:color="auto"/>
        <w:bottom w:val="none" w:sz="0" w:space="0" w:color="auto"/>
        <w:right w:val="none" w:sz="0" w:space="0" w:color="auto"/>
      </w:divBdr>
    </w:div>
    <w:div w:id="362445745">
      <w:bodyDiv w:val="1"/>
      <w:marLeft w:val="0"/>
      <w:marRight w:val="0"/>
      <w:marTop w:val="0"/>
      <w:marBottom w:val="0"/>
      <w:divBdr>
        <w:top w:val="none" w:sz="0" w:space="0" w:color="auto"/>
        <w:left w:val="none" w:sz="0" w:space="0" w:color="auto"/>
        <w:bottom w:val="none" w:sz="0" w:space="0" w:color="auto"/>
        <w:right w:val="none" w:sz="0" w:space="0" w:color="auto"/>
      </w:divBdr>
    </w:div>
    <w:div w:id="376972815">
      <w:bodyDiv w:val="1"/>
      <w:marLeft w:val="0"/>
      <w:marRight w:val="0"/>
      <w:marTop w:val="0"/>
      <w:marBottom w:val="0"/>
      <w:divBdr>
        <w:top w:val="none" w:sz="0" w:space="0" w:color="auto"/>
        <w:left w:val="none" w:sz="0" w:space="0" w:color="auto"/>
        <w:bottom w:val="none" w:sz="0" w:space="0" w:color="auto"/>
        <w:right w:val="none" w:sz="0" w:space="0" w:color="auto"/>
      </w:divBdr>
    </w:div>
    <w:div w:id="391739827">
      <w:bodyDiv w:val="1"/>
      <w:marLeft w:val="0"/>
      <w:marRight w:val="0"/>
      <w:marTop w:val="0"/>
      <w:marBottom w:val="0"/>
      <w:divBdr>
        <w:top w:val="none" w:sz="0" w:space="0" w:color="auto"/>
        <w:left w:val="none" w:sz="0" w:space="0" w:color="auto"/>
        <w:bottom w:val="none" w:sz="0" w:space="0" w:color="auto"/>
        <w:right w:val="none" w:sz="0" w:space="0" w:color="auto"/>
      </w:divBdr>
    </w:div>
    <w:div w:id="401291539">
      <w:bodyDiv w:val="1"/>
      <w:marLeft w:val="0"/>
      <w:marRight w:val="0"/>
      <w:marTop w:val="0"/>
      <w:marBottom w:val="0"/>
      <w:divBdr>
        <w:top w:val="none" w:sz="0" w:space="0" w:color="auto"/>
        <w:left w:val="none" w:sz="0" w:space="0" w:color="auto"/>
        <w:bottom w:val="none" w:sz="0" w:space="0" w:color="auto"/>
        <w:right w:val="none" w:sz="0" w:space="0" w:color="auto"/>
      </w:divBdr>
    </w:div>
    <w:div w:id="430200145">
      <w:bodyDiv w:val="1"/>
      <w:marLeft w:val="0"/>
      <w:marRight w:val="0"/>
      <w:marTop w:val="0"/>
      <w:marBottom w:val="0"/>
      <w:divBdr>
        <w:top w:val="none" w:sz="0" w:space="0" w:color="auto"/>
        <w:left w:val="none" w:sz="0" w:space="0" w:color="auto"/>
        <w:bottom w:val="none" w:sz="0" w:space="0" w:color="auto"/>
        <w:right w:val="none" w:sz="0" w:space="0" w:color="auto"/>
      </w:divBdr>
    </w:div>
    <w:div w:id="442960531">
      <w:bodyDiv w:val="1"/>
      <w:marLeft w:val="0"/>
      <w:marRight w:val="0"/>
      <w:marTop w:val="0"/>
      <w:marBottom w:val="0"/>
      <w:divBdr>
        <w:top w:val="none" w:sz="0" w:space="0" w:color="auto"/>
        <w:left w:val="none" w:sz="0" w:space="0" w:color="auto"/>
        <w:bottom w:val="none" w:sz="0" w:space="0" w:color="auto"/>
        <w:right w:val="none" w:sz="0" w:space="0" w:color="auto"/>
      </w:divBdr>
    </w:div>
    <w:div w:id="448009238">
      <w:bodyDiv w:val="1"/>
      <w:marLeft w:val="0"/>
      <w:marRight w:val="0"/>
      <w:marTop w:val="0"/>
      <w:marBottom w:val="0"/>
      <w:divBdr>
        <w:top w:val="none" w:sz="0" w:space="0" w:color="auto"/>
        <w:left w:val="none" w:sz="0" w:space="0" w:color="auto"/>
        <w:bottom w:val="none" w:sz="0" w:space="0" w:color="auto"/>
        <w:right w:val="none" w:sz="0" w:space="0" w:color="auto"/>
      </w:divBdr>
    </w:div>
    <w:div w:id="515508622">
      <w:bodyDiv w:val="1"/>
      <w:marLeft w:val="0"/>
      <w:marRight w:val="0"/>
      <w:marTop w:val="0"/>
      <w:marBottom w:val="0"/>
      <w:divBdr>
        <w:top w:val="none" w:sz="0" w:space="0" w:color="auto"/>
        <w:left w:val="none" w:sz="0" w:space="0" w:color="auto"/>
        <w:bottom w:val="none" w:sz="0" w:space="0" w:color="auto"/>
        <w:right w:val="none" w:sz="0" w:space="0" w:color="auto"/>
      </w:divBdr>
    </w:div>
    <w:div w:id="542400888">
      <w:bodyDiv w:val="1"/>
      <w:marLeft w:val="0"/>
      <w:marRight w:val="0"/>
      <w:marTop w:val="0"/>
      <w:marBottom w:val="0"/>
      <w:divBdr>
        <w:top w:val="none" w:sz="0" w:space="0" w:color="auto"/>
        <w:left w:val="none" w:sz="0" w:space="0" w:color="auto"/>
        <w:bottom w:val="none" w:sz="0" w:space="0" w:color="auto"/>
        <w:right w:val="none" w:sz="0" w:space="0" w:color="auto"/>
      </w:divBdr>
    </w:div>
    <w:div w:id="550075727">
      <w:bodyDiv w:val="1"/>
      <w:marLeft w:val="0"/>
      <w:marRight w:val="0"/>
      <w:marTop w:val="0"/>
      <w:marBottom w:val="0"/>
      <w:divBdr>
        <w:top w:val="none" w:sz="0" w:space="0" w:color="auto"/>
        <w:left w:val="none" w:sz="0" w:space="0" w:color="auto"/>
        <w:bottom w:val="none" w:sz="0" w:space="0" w:color="auto"/>
        <w:right w:val="none" w:sz="0" w:space="0" w:color="auto"/>
      </w:divBdr>
    </w:div>
    <w:div w:id="601570681">
      <w:bodyDiv w:val="1"/>
      <w:marLeft w:val="0"/>
      <w:marRight w:val="0"/>
      <w:marTop w:val="0"/>
      <w:marBottom w:val="0"/>
      <w:divBdr>
        <w:top w:val="none" w:sz="0" w:space="0" w:color="auto"/>
        <w:left w:val="none" w:sz="0" w:space="0" w:color="auto"/>
        <w:bottom w:val="none" w:sz="0" w:space="0" w:color="auto"/>
        <w:right w:val="none" w:sz="0" w:space="0" w:color="auto"/>
      </w:divBdr>
    </w:div>
    <w:div w:id="633408776">
      <w:bodyDiv w:val="1"/>
      <w:marLeft w:val="0"/>
      <w:marRight w:val="0"/>
      <w:marTop w:val="0"/>
      <w:marBottom w:val="0"/>
      <w:divBdr>
        <w:top w:val="none" w:sz="0" w:space="0" w:color="auto"/>
        <w:left w:val="none" w:sz="0" w:space="0" w:color="auto"/>
        <w:bottom w:val="none" w:sz="0" w:space="0" w:color="auto"/>
        <w:right w:val="none" w:sz="0" w:space="0" w:color="auto"/>
      </w:divBdr>
    </w:div>
    <w:div w:id="637296590">
      <w:bodyDiv w:val="1"/>
      <w:marLeft w:val="0"/>
      <w:marRight w:val="0"/>
      <w:marTop w:val="0"/>
      <w:marBottom w:val="0"/>
      <w:divBdr>
        <w:top w:val="none" w:sz="0" w:space="0" w:color="auto"/>
        <w:left w:val="none" w:sz="0" w:space="0" w:color="auto"/>
        <w:bottom w:val="none" w:sz="0" w:space="0" w:color="auto"/>
        <w:right w:val="none" w:sz="0" w:space="0" w:color="auto"/>
      </w:divBdr>
    </w:div>
    <w:div w:id="664092703">
      <w:bodyDiv w:val="1"/>
      <w:marLeft w:val="0"/>
      <w:marRight w:val="0"/>
      <w:marTop w:val="0"/>
      <w:marBottom w:val="0"/>
      <w:divBdr>
        <w:top w:val="none" w:sz="0" w:space="0" w:color="auto"/>
        <w:left w:val="none" w:sz="0" w:space="0" w:color="auto"/>
        <w:bottom w:val="none" w:sz="0" w:space="0" w:color="auto"/>
        <w:right w:val="none" w:sz="0" w:space="0" w:color="auto"/>
      </w:divBdr>
    </w:div>
    <w:div w:id="677849327">
      <w:bodyDiv w:val="1"/>
      <w:marLeft w:val="0"/>
      <w:marRight w:val="0"/>
      <w:marTop w:val="0"/>
      <w:marBottom w:val="0"/>
      <w:divBdr>
        <w:top w:val="none" w:sz="0" w:space="0" w:color="auto"/>
        <w:left w:val="none" w:sz="0" w:space="0" w:color="auto"/>
        <w:bottom w:val="none" w:sz="0" w:space="0" w:color="auto"/>
        <w:right w:val="none" w:sz="0" w:space="0" w:color="auto"/>
      </w:divBdr>
    </w:div>
    <w:div w:id="725572962">
      <w:bodyDiv w:val="1"/>
      <w:marLeft w:val="0"/>
      <w:marRight w:val="0"/>
      <w:marTop w:val="0"/>
      <w:marBottom w:val="0"/>
      <w:divBdr>
        <w:top w:val="none" w:sz="0" w:space="0" w:color="auto"/>
        <w:left w:val="none" w:sz="0" w:space="0" w:color="auto"/>
        <w:bottom w:val="none" w:sz="0" w:space="0" w:color="auto"/>
        <w:right w:val="none" w:sz="0" w:space="0" w:color="auto"/>
      </w:divBdr>
    </w:div>
    <w:div w:id="817384158">
      <w:bodyDiv w:val="1"/>
      <w:marLeft w:val="0"/>
      <w:marRight w:val="0"/>
      <w:marTop w:val="0"/>
      <w:marBottom w:val="0"/>
      <w:divBdr>
        <w:top w:val="none" w:sz="0" w:space="0" w:color="auto"/>
        <w:left w:val="none" w:sz="0" w:space="0" w:color="auto"/>
        <w:bottom w:val="none" w:sz="0" w:space="0" w:color="auto"/>
        <w:right w:val="none" w:sz="0" w:space="0" w:color="auto"/>
      </w:divBdr>
    </w:div>
    <w:div w:id="825167525">
      <w:bodyDiv w:val="1"/>
      <w:marLeft w:val="0"/>
      <w:marRight w:val="0"/>
      <w:marTop w:val="0"/>
      <w:marBottom w:val="0"/>
      <w:divBdr>
        <w:top w:val="none" w:sz="0" w:space="0" w:color="auto"/>
        <w:left w:val="none" w:sz="0" w:space="0" w:color="auto"/>
        <w:bottom w:val="none" w:sz="0" w:space="0" w:color="auto"/>
        <w:right w:val="none" w:sz="0" w:space="0" w:color="auto"/>
      </w:divBdr>
    </w:div>
    <w:div w:id="846482713">
      <w:bodyDiv w:val="1"/>
      <w:marLeft w:val="0"/>
      <w:marRight w:val="0"/>
      <w:marTop w:val="0"/>
      <w:marBottom w:val="0"/>
      <w:divBdr>
        <w:top w:val="none" w:sz="0" w:space="0" w:color="auto"/>
        <w:left w:val="none" w:sz="0" w:space="0" w:color="auto"/>
        <w:bottom w:val="none" w:sz="0" w:space="0" w:color="auto"/>
        <w:right w:val="none" w:sz="0" w:space="0" w:color="auto"/>
      </w:divBdr>
    </w:div>
    <w:div w:id="872184430">
      <w:bodyDiv w:val="1"/>
      <w:marLeft w:val="0"/>
      <w:marRight w:val="0"/>
      <w:marTop w:val="0"/>
      <w:marBottom w:val="0"/>
      <w:divBdr>
        <w:top w:val="none" w:sz="0" w:space="0" w:color="auto"/>
        <w:left w:val="none" w:sz="0" w:space="0" w:color="auto"/>
        <w:bottom w:val="none" w:sz="0" w:space="0" w:color="auto"/>
        <w:right w:val="none" w:sz="0" w:space="0" w:color="auto"/>
      </w:divBdr>
    </w:div>
    <w:div w:id="913205270">
      <w:bodyDiv w:val="1"/>
      <w:marLeft w:val="0"/>
      <w:marRight w:val="0"/>
      <w:marTop w:val="0"/>
      <w:marBottom w:val="0"/>
      <w:divBdr>
        <w:top w:val="none" w:sz="0" w:space="0" w:color="auto"/>
        <w:left w:val="none" w:sz="0" w:space="0" w:color="auto"/>
        <w:bottom w:val="none" w:sz="0" w:space="0" w:color="auto"/>
        <w:right w:val="none" w:sz="0" w:space="0" w:color="auto"/>
      </w:divBdr>
    </w:div>
    <w:div w:id="929042417">
      <w:bodyDiv w:val="1"/>
      <w:marLeft w:val="0"/>
      <w:marRight w:val="0"/>
      <w:marTop w:val="0"/>
      <w:marBottom w:val="0"/>
      <w:divBdr>
        <w:top w:val="none" w:sz="0" w:space="0" w:color="auto"/>
        <w:left w:val="none" w:sz="0" w:space="0" w:color="auto"/>
        <w:bottom w:val="none" w:sz="0" w:space="0" w:color="auto"/>
        <w:right w:val="none" w:sz="0" w:space="0" w:color="auto"/>
      </w:divBdr>
    </w:div>
    <w:div w:id="1011374774">
      <w:bodyDiv w:val="1"/>
      <w:marLeft w:val="0"/>
      <w:marRight w:val="0"/>
      <w:marTop w:val="0"/>
      <w:marBottom w:val="0"/>
      <w:divBdr>
        <w:top w:val="none" w:sz="0" w:space="0" w:color="auto"/>
        <w:left w:val="none" w:sz="0" w:space="0" w:color="auto"/>
        <w:bottom w:val="none" w:sz="0" w:space="0" w:color="auto"/>
        <w:right w:val="none" w:sz="0" w:space="0" w:color="auto"/>
      </w:divBdr>
    </w:div>
    <w:div w:id="1134326041">
      <w:bodyDiv w:val="1"/>
      <w:marLeft w:val="0"/>
      <w:marRight w:val="0"/>
      <w:marTop w:val="0"/>
      <w:marBottom w:val="0"/>
      <w:divBdr>
        <w:top w:val="none" w:sz="0" w:space="0" w:color="auto"/>
        <w:left w:val="none" w:sz="0" w:space="0" w:color="auto"/>
        <w:bottom w:val="none" w:sz="0" w:space="0" w:color="auto"/>
        <w:right w:val="none" w:sz="0" w:space="0" w:color="auto"/>
      </w:divBdr>
    </w:div>
    <w:div w:id="1148090472">
      <w:bodyDiv w:val="1"/>
      <w:marLeft w:val="0"/>
      <w:marRight w:val="0"/>
      <w:marTop w:val="0"/>
      <w:marBottom w:val="0"/>
      <w:divBdr>
        <w:top w:val="none" w:sz="0" w:space="0" w:color="auto"/>
        <w:left w:val="none" w:sz="0" w:space="0" w:color="auto"/>
        <w:bottom w:val="none" w:sz="0" w:space="0" w:color="auto"/>
        <w:right w:val="none" w:sz="0" w:space="0" w:color="auto"/>
      </w:divBdr>
    </w:div>
    <w:div w:id="1151021653">
      <w:bodyDiv w:val="1"/>
      <w:marLeft w:val="0"/>
      <w:marRight w:val="0"/>
      <w:marTop w:val="0"/>
      <w:marBottom w:val="0"/>
      <w:divBdr>
        <w:top w:val="none" w:sz="0" w:space="0" w:color="auto"/>
        <w:left w:val="none" w:sz="0" w:space="0" w:color="auto"/>
        <w:bottom w:val="none" w:sz="0" w:space="0" w:color="auto"/>
        <w:right w:val="none" w:sz="0" w:space="0" w:color="auto"/>
      </w:divBdr>
    </w:div>
    <w:div w:id="1175538241">
      <w:bodyDiv w:val="1"/>
      <w:marLeft w:val="0"/>
      <w:marRight w:val="0"/>
      <w:marTop w:val="0"/>
      <w:marBottom w:val="0"/>
      <w:divBdr>
        <w:top w:val="none" w:sz="0" w:space="0" w:color="auto"/>
        <w:left w:val="none" w:sz="0" w:space="0" w:color="auto"/>
        <w:bottom w:val="none" w:sz="0" w:space="0" w:color="auto"/>
        <w:right w:val="none" w:sz="0" w:space="0" w:color="auto"/>
      </w:divBdr>
    </w:div>
    <w:div w:id="1204908016">
      <w:bodyDiv w:val="1"/>
      <w:marLeft w:val="0"/>
      <w:marRight w:val="0"/>
      <w:marTop w:val="0"/>
      <w:marBottom w:val="0"/>
      <w:divBdr>
        <w:top w:val="none" w:sz="0" w:space="0" w:color="auto"/>
        <w:left w:val="none" w:sz="0" w:space="0" w:color="auto"/>
        <w:bottom w:val="none" w:sz="0" w:space="0" w:color="auto"/>
        <w:right w:val="none" w:sz="0" w:space="0" w:color="auto"/>
      </w:divBdr>
    </w:div>
    <w:div w:id="1223062106">
      <w:bodyDiv w:val="1"/>
      <w:marLeft w:val="0"/>
      <w:marRight w:val="0"/>
      <w:marTop w:val="0"/>
      <w:marBottom w:val="0"/>
      <w:divBdr>
        <w:top w:val="none" w:sz="0" w:space="0" w:color="auto"/>
        <w:left w:val="none" w:sz="0" w:space="0" w:color="auto"/>
        <w:bottom w:val="none" w:sz="0" w:space="0" w:color="auto"/>
        <w:right w:val="none" w:sz="0" w:space="0" w:color="auto"/>
      </w:divBdr>
    </w:div>
    <w:div w:id="1258519360">
      <w:bodyDiv w:val="1"/>
      <w:marLeft w:val="0"/>
      <w:marRight w:val="0"/>
      <w:marTop w:val="0"/>
      <w:marBottom w:val="0"/>
      <w:divBdr>
        <w:top w:val="none" w:sz="0" w:space="0" w:color="auto"/>
        <w:left w:val="none" w:sz="0" w:space="0" w:color="auto"/>
        <w:bottom w:val="none" w:sz="0" w:space="0" w:color="auto"/>
        <w:right w:val="none" w:sz="0" w:space="0" w:color="auto"/>
      </w:divBdr>
    </w:div>
    <w:div w:id="1281912551">
      <w:bodyDiv w:val="1"/>
      <w:marLeft w:val="0"/>
      <w:marRight w:val="0"/>
      <w:marTop w:val="0"/>
      <w:marBottom w:val="0"/>
      <w:divBdr>
        <w:top w:val="none" w:sz="0" w:space="0" w:color="auto"/>
        <w:left w:val="none" w:sz="0" w:space="0" w:color="auto"/>
        <w:bottom w:val="none" w:sz="0" w:space="0" w:color="auto"/>
        <w:right w:val="none" w:sz="0" w:space="0" w:color="auto"/>
      </w:divBdr>
    </w:div>
    <w:div w:id="1286962973">
      <w:bodyDiv w:val="1"/>
      <w:marLeft w:val="0"/>
      <w:marRight w:val="0"/>
      <w:marTop w:val="0"/>
      <w:marBottom w:val="0"/>
      <w:divBdr>
        <w:top w:val="none" w:sz="0" w:space="0" w:color="auto"/>
        <w:left w:val="none" w:sz="0" w:space="0" w:color="auto"/>
        <w:bottom w:val="none" w:sz="0" w:space="0" w:color="auto"/>
        <w:right w:val="none" w:sz="0" w:space="0" w:color="auto"/>
      </w:divBdr>
    </w:div>
    <w:div w:id="1297681071">
      <w:bodyDiv w:val="1"/>
      <w:marLeft w:val="0"/>
      <w:marRight w:val="0"/>
      <w:marTop w:val="0"/>
      <w:marBottom w:val="0"/>
      <w:divBdr>
        <w:top w:val="none" w:sz="0" w:space="0" w:color="auto"/>
        <w:left w:val="none" w:sz="0" w:space="0" w:color="auto"/>
        <w:bottom w:val="none" w:sz="0" w:space="0" w:color="auto"/>
        <w:right w:val="none" w:sz="0" w:space="0" w:color="auto"/>
      </w:divBdr>
    </w:div>
    <w:div w:id="1299191931">
      <w:bodyDiv w:val="1"/>
      <w:marLeft w:val="0"/>
      <w:marRight w:val="0"/>
      <w:marTop w:val="0"/>
      <w:marBottom w:val="0"/>
      <w:divBdr>
        <w:top w:val="none" w:sz="0" w:space="0" w:color="auto"/>
        <w:left w:val="none" w:sz="0" w:space="0" w:color="auto"/>
        <w:bottom w:val="none" w:sz="0" w:space="0" w:color="auto"/>
        <w:right w:val="none" w:sz="0" w:space="0" w:color="auto"/>
      </w:divBdr>
    </w:div>
    <w:div w:id="1331911543">
      <w:bodyDiv w:val="1"/>
      <w:marLeft w:val="0"/>
      <w:marRight w:val="0"/>
      <w:marTop w:val="0"/>
      <w:marBottom w:val="0"/>
      <w:divBdr>
        <w:top w:val="none" w:sz="0" w:space="0" w:color="auto"/>
        <w:left w:val="none" w:sz="0" w:space="0" w:color="auto"/>
        <w:bottom w:val="none" w:sz="0" w:space="0" w:color="auto"/>
        <w:right w:val="none" w:sz="0" w:space="0" w:color="auto"/>
      </w:divBdr>
    </w:div>
    <w:div w:id="1352564408">
      <w:bodyDiv w:val="1"/>
      <w:marLeft w:val="0"/>
      <w:marRight w:val="0"/>
      <w:marTop w:val="0"/>
      <w:marBottom w:val="0"/>
      <w:divBdr>
        <w:top w:val="none" w:sz="0" w:space="0" w:color="auto"/>
        <w:left w:val="none" w:sz="0" w:space="0" w:color="auto"/>
        <w:bottom w:val="none" w:sz="0" w:space="0" w:color="auto"/>
        <w:right w:val="none" w:sz="0" w:space="0" w:color="auto"/>
      </w:divBdr>
    </w:div>
    <w:div w:id="1389643841">
      <w:bodyDiv w:val="1"/>
      <w:marLeft w:val="0"/>
      <w:marRight w:val="0"/>
      <w:marTop w:val="0"/>
      <w:marBottom w:val="0"/>
      <w:divBdr>
        <w:top w:val="none" w:sz="0" w:space="0" w:color="auto"/>
        <w:left w:val="none" w:sz="0" w:space="0" w:color="auto"/>
        <w:bottom w:val="none" w:sz="0" w:space="0" w:color="auto"/>
        <w:right w:val="none" w:sz="0" w:space="0" w:color="auto"/>
      </w:divBdr>
    </w:div>
    <w:div w:id="1437098040">
      <w:bodyDiv w:val="1"/>
      <w:marLeft w:val="0"/>
      <w:marRight w:val="0"/>
      <w:marTop w:val="0"/>
      <w:marBottom w:val="0"/>
      <w:divBdr>
        <w:top w:val="none" w:sz="0" w:space="0" w:color="auto"/>
        <w:left w:val="none" w:sz="0" w:space="0" w:color="auto"/>
        <w:bottom w:val="none" w:sz="0" w:space="0" w:color="auto"/>
        <w:right w:val="none" w:sz="0" w:space="0" w:color="auto"/>
      </w:divBdr>
    </w:div>
    <w:div w:id="1582791013">
      <w:bodyDiv w:val="1"/>
      <w:marLeft w:val="0"/>
      <w:marRight w:val="0"/>
      <w:marTop w:val="0"/>
      <w:marBottom w:val="0"/>
      <w:divBdr>
        <w:top w:val="none" w:sz="0" w:space="0" w:color="auto"/>
        <w:left w:val="none" w:sz="0" w:space="0" w:color="auto"/>
        <w:bottom w:val="none" w:sz="0" w:space="0" w:color="auto"/>
        <w:right w:val="none" w:sz="0" w:space="0" w:color="auto"/>
      </w:divBdr>
    </w:div>
    <w:div w:id="1634286583">
      <w:bodyDiv w:val="1"/>
      <w:marLeft w:val="0"/>
      <w:marRight w:val="0"/>
      <w:marTop w:val="0"/>
      <w:marBottom w:val="0"/>
      <w:divBdr>
        <w:top w:val="none" w:sz="0" w:space="0" w:color="auto"/>
        <w:left w:val="none" w:sz="0" w:space="0" w:color="auto"/>
        <w:bottom w:val="none" w:sz="0" w:space="0" w:color="auto"/>
        <w:right w:val="none" w:sz="0" w:space="0" w:color="auto"/>
      </w:divBdr>
    </w:div>
    <w:div w:id="1726754183">
      <w:bodyDiv w:val="1"/>
      <w:marLeft w:val="0"/>
      <w:marRight w:val="0"/>
      <w:marTop w:val="0"/>
      <w:marBottom w:val="0"/>
      <w:divBdr>
        <w:top w:val="none" w:sz="0" w:space="0" w:color="auto"/>
        <w:left w:val="none" w:sz="0" w:space="0" w:color="auto"/>
        <w:bottom w:val="none" w:sz="0" w:space="0" w:color="auto"/>
        <w:right w:val="none" w:sz="0" w:space="0" w:color="auto"/>
      </w:divBdr>
    </w:div>
    <w:div w:id="1742018645">
      <w:bodyDiv w:val="1"/>
      <w:marLeft w:val="0"/>
      <w:marRight w:val="0"/>
      <w:marTop w:val="0"/>
      <w:marBottom w:val="0"/>
      <w:divBdr>
        <w:top w:val="none" w:sz="0" w:space="0" w:color="auto"/>
        <w:left w:val="none" w:sz="0" w:space="0" w:color="auto"/>
        <w:bottom w:val="none" w:sz="0" w:space="0" w:color="auto"/>
        <w:right w:val="none" w:sz="0" w:space="0" w:color="auto"/>
      </w:divBdr>
    </w:div>
    <w:div w:id="1744838144">
      <w:bodyDiv w:val="1"/>
      <w:marLeft w:val="0"/>
      <w:marRight w:val="0"/>
      <w:marTop w:val="0"/>
      <w:marBottom w:val="0"/>
      <w:divBdr>
        <w:top w:val="none" w:sz="0" w:space="0" w:color="auto"/>
        <w:left w:val="none" w:sz="0" w:space="0" w:color="auto"/>
        <w:bottom w:val="none" w:sz="0" w:space="0" w:color="auto"/>
        <w:right w:val="none" w:sz="0" w:space="0" w:color="auto"/>
      </w:divBdr>
    </w:div>
    <w:div w:id="1769227075">
      <w:bodyDiv w:val="1"/>
      <w:marLeft w:val="0"/>
      <w:marRight w:val="0"/>
      <w:marTop w:val="0"/>
      <w:marBottom w:val="0"/>
      <w:divBdr>
        <w:top w:val="none" w:sz="0" w:space="0" w:color="auto"/>
        <w:left w:val="none" w:sz="0" w:space="0" w:color="auto"/>
        <w:bottom w:val="none" w:sz="0" w:space="0" w:color="auto"/>
        <w:right w:val="none" w:sz="0" w:space="0" w:color="auto"/>
      </w:divBdr>
    </w:div>
    <w:div w:id="1802921019">
      <w:bodyDiv w:val="1"/>
      <w:marLeft w:val="0"/>
      <w:marRight w:val="0"/>
      <w:marTop w:val="0"/>
      <w:marBottom w:val="0"/>
      <w:divBdr>
        <w:top w:val="none" w:sz="0" w:space="0" w:color="auto"/>
        <w:left w:val="none" w:sz="0" w:space="0" w:color="auto"/>
        <w:bottom w:val="none" w:sz="0" w:space="0" w:color="auto"/>
        <w:right w:val="none" w:sz="0" w:space="0" w:color="auto"/>
      </w:divBdr>
    </w:div>
    <w:div w:id="1910649987">
      <w:bodyDiv w:val="1"/>
      <w:marLeft w:val="0"/>
      <w:marRight w:val="0"/>
      <w:marTop w:val="0"/>
      <w:marBottom w:val="0"/>
      <w:divBdr>
        <w:top w:val="none" w:sz="0" w:space="0" w:color="auto"/>
        <w:left w:val="none" w:sz="0" w:space="0" w:color="auto"/>
        <w:bottom w:val="none" w:sz="0" w:space="0" w:color="auto"/>
        <w:right w:val="none" w:sz="0" w:space="0" w:color="auto"/>
      </w:divBdr>
    </w:div>
    <w:div w:id="1989236796">
      <w:bodyDiv w:val="1"/>
      <w:marLeft w:val="0"/>
      <w:marRight w:val="0"/>
      <w:marTop w:val="0"/>
      <w:marBottom w:val="0"/>
      <w:divBdr>
        <w:top w:val="none" w:sz="0" w:space="0" w:color="auto"/>
        <w:left w:val="none" w:sz="0" w:space="0" w:color="auto"/>
        <w:bottom w:val="none" w:sz="0" w:space="0" w:color="auto"/>
        <w:right w:val="none" w:sz="0" w:space="0" w:color="auto"/>
      </w:divBdr>
    </w:div>
    <w:div w:id="1994288876">
      <w:bodyDiv w:val="1"/>
      <w:marLeft w:val="0"/>
      <w:marRight w:val="0"/>
      <w:marTop w:val="0"/>
      <w:marBottom w:val="0"/>
      <w:divBdr>
        <w:top w:val="none" w:sz="0" w:space="0" w:color="auto"/>
        <w:left w:val="none" w:sz="0" w:space="0" w:color="auto"/>
        <w:bottom w:val="none" w:sz="0" w:space="0" w:color="auto"/>
        <w:right w:val="none" w:sz="0" w:space="0" w:color="auto"/>
      </w:divBdr>
    </w:div>
    <w:div w:id="2055813896">
      <w:bodyDiv w:val="1"/>
      <w:marLeft w:val="0"/>
      <w:marRight w:val="0"/>
      <w:marTop w:val="0"/>
      <w:marBottom w:val="0"/>
      <w:divBdr>
        <w:top w:val="none" w:sz="0" w:space="0" w:color="auto"/>
        <w:left w:val="none" w:sz="0" w:space="0" w:color="auto"/>
        <w:bottom w:val="none" w:sz="0" w:space="0" w:color="auto"/>
        <w:right w:val="none" w:sz="0" w:space="0" w:color="auto"/>
      </w:divBdr>
    </w:div>
    <w:div w:id="2066827463">
      <w:bodyDiv w:val="1"/>
      <w:marLeft w:val="0"/>
      <w:marRight w:val="0"/>
      <w:marTop w:val="0"/>
      <w:marBottom w:val="0"/>
      <w:divBdr>
        <w:top w:val="none" w:sz="0" w:space="0" w:color="auto"/>
        <w:left w:val="none" w:sz="0" w:space="0" w:color="auto"/>
        <w:bottom w:val="none" w:sz="0" w:space="0" w:color="auto"/>
        <w:right w:val="none" w:sz="0" w:space="0" w:color="auto"/>
      </w:divBdr>
    </w:div>
    <w:div w:id="2079588766">
      <w:bodyDiv w:val="1"/>
      <w:marLeft w:val="0"/>
      <w:marRight w:val="0"/>
      <w:marTop w:val="0"/>
      <w:marBottom w:val="0"/>
      <w:divBdr>
        <w:top w:val="none" w:sz="0" w:space="0" w:color="auto"/>
        <w:left w:val="none" w:sz="0" w:space="0" w:color="auto"/>
        <w:bottom w:val="none" w:sz="0" w:space="0" w:color="auto"/>
        <w:right w:val="none" w:sz="0" w:space="0" w:color="auto"/>
      </w:divBdr>
    </w:div>
    <w:div w:id="213609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UCB\lucrari\2025%20Lucrare%20conferinta%20Danubius%20mai%202025\EIRPtemplat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4ADD-09A0-4F50-BAD2-CEFEF75C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EIRPtemplate2012</Template>
  <TotalTime>71</TotalTime>
  <Pages>1</Pages>
  <Words>3562</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Instructions for the preparation of the two-page digest</vt:lpstr>
    </vt:vector>
  </TitlesOfParts>
  <Company>NTUA</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the two-page digest</dc:title>
  <dc:creator>Home</dc:creator>
  <cp:lastModifiedBy>Home AiO</cp:lastModifiedBy>
  <cp:revision>97</cp:revision>
  <dcterms:created xsi:type="dcterms:W3CDTF">2025-04-07T18:46:00Z</dcterms:created>
  <dcterms:modified xsi:type="dcterms:W3CDTF">2025-04-13T16:49:00Z</dcterms:modified>
</cp:coreProperties>
</file>